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before="53" w:line="16772" w:lineRule="exact"/>
        <w:rPr/>
      </w:pPr>
      <w:r>
        <w:rPr>
          <w:position w:val="-335"/>
        </w:rPr>
        <w:drawing>
          <wp:inline distT="0" distB="0" distL="0" distR="0">
            <wp:extent cx="7560309" cy="10650007"/>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7560309" cy="10650007"/>
                    </a:xfrm>
                    <a:prstGeom prst="rect">
                      <a:avLst/>
                    </a:prstGeom>
                  </pic:spPr>
                </pic:pic>
              </a:graphicData>
            </a:graphic>
          </wp:inline>
        </w:drawing>
      </w:r>
    </w:p>
    <w:p>
      <w:pPr>
        <w:spacing w:line="16772" w:lineRule="exact"/>
        <w:sectPr>
          <w:headerReference w:type="default" r:id="rId1"/>
          <w:footerReference w:type="default" r:id="rId2"/>
          <w:pgSz w:w="11906" w:h="16839"/>
          <w:pgMar w:top="1" w:right="0" w:bottom="1" w:left="0" w:header="0" w:footer="0" w:gutter="0"/>
        </w:sectPr>
        <w:rPr/>
      </w:pPr>
    </w:p>
    <w:p>
      <w:pPr>
        <w:spacing w:line="16825" w:lineRule="exact"/>
        <w:rPr/>
      </w:pPr>
      <w:r>
        <w:rPr>
          <w:position w:val="-336"/>
        </w:rPr>
        <w:drawing>
          <wp:inline distT="0" distB="0" distL="0" distR="0">
            <wp:extent cx="7560005" cy="10683901"/>
            <wp:effectExtent l="0" t="0" r="0" b="0"/>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7560005" cy="10683901"/>
                    </a:xfrm>
                    <a:prstGeom prst="rect">
                      <a:avLst/>
                    </a:prstGeom>
                  </pic:spPr>
                </pic:pic>
              </a:graphicData>
            </a:graphic>
          </wp:inline>
        </w:drawing>
      </w:r>
    </w:p>
    <w:p>
      <w:pPr>
        <w:spacing w:line="16825" w:lineRule="exact"/>
        <w:sectPr>
          <w:pgSz w:w="11906" w:h="16838"/>
          <w:pgMar w:top="1" w:right="0" w:bottom="1" w:left="0" w:header="0" w:footer="0" w:gutter="0"/>
        </w:sectPr>
        <w:rPr/>
      </w:pP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sdt>
      <w:sdtPr>
        <w:rPr>
          <w:rFonts w:ascii="SimSun" w:hAnsi="SimSun" w:eastAsia="SimSun" w:cs="SimSun"/>
          <w:sz w:val="31"/>
          <w:szCs w:val="31"/>
        </w:rPr>
        <w:docPartObj>
          <w:docPartGallery w:val="Table of Contents"/>
          <w:docPartUnique/>
        </w:docPartObj>
      </w:sdtPr>
      <w:sdtEndPr>
        <w:rPr>
          <w:rFonts w:ascii="Calibri" w:hAnsi="Calibri" w:eastAsia="Calibri" w:cs="Calibri"/>
          <w:sz w:val="20"/>
          <w:szCs w:val="20"/>
        </w:rPr>
      </w:sdtEndPr>
      <w:sdtContent>
        <w:p>
          <w:pPr>
            <w:pStyle w:val="BodyText"/>
            <w:ind w:left="3838"/>
            <w:spacing w:before="101" w:line="227" w:lineRule="auto"/>
            <w:rPr>
              <w:sz w:val="31"/>
              <w:szCs w:val="31"/>
            </w:rPr>
          </w:pPr>
          <w:bookmarkStart w:name="bookmark1" w:id="1"/>
          <w:bookmarkEnd w:id="1"/>
          <w:r>
            <w:rPr>
              <w:sz w:val="31"/>
              <w:szCs w:val="31"/>
              <w:b/>
              <w:bCs/>
              <w:spacing w:val="-36"/>
            </w:rPr>
            <w:t>目</w:t>
          </w:r>
          <w:r>
            <w:rPr>
              <w:sz w:val="31"/>
              <w:szCs w:val="31"/>
              <w:spacing w:val="19"/>
            </w:rPr>
            <w:t xml:space="preserve"> </w:t>
          </w:r>
          <w:r>
            <w:rPr>
              <w:sz w:val="31"/>
              <w:szCs w:val="31"/>
              <w:b/>
              <w:bCs/>
              <w:spacing w:val="-36"/>
            </w:rPr>
            <w:t>录</w:t>
          </w:r>
        </w:p>
        <w:p>
          <w:pPr>
            <w:spacing w:line="308" w:lineRule="auto"/>
            <w:rPr>
              <w:rFonts w:ascii="Arial"/>
              <w:sz w:val="21"/>
            </w:rPr>
          </w:pPr>
          <w:r/>
        </w:p>
        <w:p>
          <w:pPr>
            <w:spacing w:line="308" w:lineRule="auto"/>
            <w:rPr>
              <w:rFonts w:ascii="Arial"/>
              <w:sz w:val="21"/>
            </w:rPr>
          </w:pPr>
          <w:r/>
        </w:p>
        <w:p>
          <w:pPr>
            <w:pStyle w:val="BodyText"/>
            <w:ind w:left="25"/>
            <w:spacing w:before="65" w:line="193" w:lineRule="auto"/>
            <w:tabs>
              <w:tab w:val="right" w:leader="dot" w:pos="8320"/>
            </w:tabs>
            <w:rPr>
              <w:rFonts w:ascii="Calibri" w:hAnsi="Calibri" w:eastAsia="Calibri" w:cs="Calibri"/>
            </w:rPr>
          </w:pPr>
          <w:bookmarkStart w:name="bookmark1" w:id="2"/>
          <w:bookmarkEnd w:id="2"/>
          <w:hyperlink w:history="true" w:anchor="bookmark2">
            <w:r>
              <w:rPr>
                <w:spacing w:val="-1"/>
              </w:rPr>
              <w:t>一、</w:t>
            </w:r>
            <w:r>
              <w:rPr>
                <w:spacing w:val="26"/>
              </w:rPr>
              <w:t xml:space="preserve"> </w:t>
            </w:r>
            <w:r>
              <w:rPr>
                <w:spacing w:val="-1"/>
              </w:rPr>
              <w:t>概</w:t>
            </w:r>
            <w:r>
              <w:rPr>
                <w:spacing w:val="14"/>
              </w:rPr>
              <w:t xml:space="preserve"> </w:t>
            </w:r>
            <w:r>
              <w:rPr>
                <w:spacing w:val="-1"/>
              </w:rPr>
              <w:t>述</w:t>
            </w:r>
            <w:r>
              <w:rPr>
                <w:spacing w:val="-58"/>
              </w:rPr>
              <w:t xml:space="preserve"> </w:t>
            </w:r>
            <w:r>
              <w:rPr/>
              <w:tab/>
            </w:r>
            <w:r>
              <w:rPr>
                <w:rFonts w:ascii="Calibri" w:hAnsi="Calibri" w:eastAsia="Calibri" w:cs="Calibri"/>
                <w:spacing w:val="6"/>
              </w:rPr>
              <w:t>3</w:t>
            </w:r>
          </w:hyperlink>
        </w:p>
        <w:p>
          <w:pPr>
            <w:pStyle w:val="BodyText"/>
            <w:ind w:left="451"/>
            <w:spacing w:before="258" w:line="193" w:lineRule="auto"/>
            <w:tabs>
              <w:tab w:val="right" w:leader="dot" w:pos="8320"/>
            </w:tabs>
            <w:rPr>
              <w:rFonts w:ascii="Calibri" w:hAnsi="Calibri" w:eastAsia="Calibri" w:cs="Calibri"/>
            </w:rPr>
          </w:pPr>
          <w:bookmarkStart w:name="bookmark1" w:id="3"/>
          <w:bookmarkEnd w:id="3"/>
          <w:hyperlink w:history="true" w:anchor="bookmark3">
            <w:r>
              <w:rPr>
                <w:rFonts w:ascii="Calibri" w:hAnsi="Calibri" w:eastAsia="Calibri" w:cs="Calibri"/>
                <w:spacing w:val="3"/>
              </w:rPr>
              <w:t>1.1</w:t>
            </w:r>
            <w:r>
              <w:rPr>
                <w:rFonts w:ascii="Calibri" w:hAnsi="Calibri" w:eastAsia="Calibri" w:cs="Calibri"/>
                <w:spacing w:val="16"/>
              </w:rPr>
              <w:t xml:space="preserve"> </w:t>
            </w:r>
            <w:r>
              <w:rPr>
                <w:spacing w:val="3"/>
              </w:rPr>
              <w:t>注意事项</w:t>
            </w:r>
            <w:r>
              <w:rPr>
                <w:spacing w:val="-56"/>
              </w:rPr>
              <w:t xml:space="preserve"> </w:t>
            </w:r>
            <w:r>
              <w:rPr/>
              <w:tab/>
            </w:r>
            <w:r>
              <w:rPr>
                <w:spacing w:val="-44"/>
              </w:rPr>
              <w:t xml:space="preserve"> </w:t>
            </w:r>
            <w:r>
              <w:rPr>
                <w:rFonts w:ascii="Calibri" w:hAnsi="Calibri" w:eastAsia="Calibri" w:cs="Calibri"/>
              </w:rPr>
              <w:t>3</w:t>
            </w:r>
          </w:hyperlink>
        </w:p>
        <w:p>
          <w:pPr>
            <w:pStyle w:val="BodyText"/>
            <w:ind w:left="451"/>
            <w:spacing w:before="258" w:line="193" w:lineRule="auto"/>
            <w:tabs>
              <w:tab w:val="right" w:leader="dot" w:pos="8320"/>
            </w:tabs>
            <w:rPr>
              <w:rFonts w:ascii="Calibri" w:hAnsi="Calibri" w:eastAsia="Calibri" w:cs="Calibri"/>
            </w:rPr>
          </w:pPr>
          <w:bookmarkStart w:name="bookmark1" w:id="4"/>
          <w:bookmarkEnd w:id="4"/>
          <w:hyperlink w:history="true" w:anchor="bookmark4">
            <w:r>
              <w:rPr>
                <w:rFonts w:ascii="Calibri" w:hAnsi="Calibri" w:eastAsia="Calibri" w:cs="Calibri"/>
                <w:spacing w:val="3"/>
              </w:rPr>
              <w:t>1.2</w:t>
            </w:r>
            <w:r>
              <w:rPr>
                <w:rFonts w:ascii="Calibri" w:hAnsi="Calibri" w:eastAsia="Calibri" w:cs="Calibri"/>
                <w:spacing w:val="16"/>
              </w:rPr>
              <w:t xml:space="preserve"> </w:t>
            </w:r>
            <w:r>
              <w:rPr>
                <w:spacing w:val="3"/>
              </w:rPr>
              <w:t>应用领域</w:t>
            </w:r>
            <w:r>
              <w:rPr>
                <w:spacing w:val="-56"/>
              </w:rPr>
              <w:t xml:space="preserve"> </w:t>
            </w:r>
            <w:r>
              <w:rPr/>
              <w:tab/>
            </w:r>
            <w:r>
              <w:rPr>
                <w:spacing w:val="-44"/>
              </w:rPr>
              <w:t xml:space="preserve"> </w:t>
            </w:r>
            <w:r>
              <w:rPr>
                <w:rFonts w:ascii="Calibri" w:hAnsi="Calibri" w:eastAsia="Calibri" w:cs="Calibri"/>
              </w:rPr>
              <w:t>3</w:t>
            </w:r>
          </w:hyperlink>
        </w:p>
        <w:p>
          <w:pPr>
            <w:pStyle w:val="BodyText"/>
            <w:ind w:left="25"/>
            <w:spacing w:before="259" w:line="193" w:lineRule="auto"/>
            <w:tabs>
              <w:tab w:val="right" w:leader="dot" w:pos="8320"/>
            </w:tabs>
            <w:rPr>
              <w:rFonts w:ascii="Calibri" w:hAnsi="Calibri" w:eastAsia="Calibri" w:cs="Calibri"/>
            </w:rPr>
          </w:pPr>
          <w:bookmarkStart w:name="bookmark1" w:id="5"/>
          <w:bookmarkEnd w:id="5"/>
          <w:hyperlink w:history="true" w:anchor="bookmark5">
            <w:r>
              <w:rPr>
                <w:spacing w:val="7"/>
              </w:rPr>
              <w:t>二、产品介绍</w:t>
            </w:r>
            <w:r>
              <w:rPr>
                <w:spacing w:val="-53"/>
              </w:rPr>
              <w:t xml:space="preserve"> </w:t>
            </w:r>
            <w:r>
              <w:rPr/>
              <w:tab/>
            </w:r>
            <w:r>
              <w:rPr>
                <w:spacing w:val="-40"/>
              </w:rPr>
              <w:t xml:space="preserve"> </w:t>
            </w:r>
            <w:r>
              <w:rPr>
                <w:rFonts w:ascii="Calibri" w:hAnsi="Calibri" w:eastAsia="Calibri" w:cs="Calibri"/>
              </w:rPr>
              <w:t>3</w:t>
            </w:r>
          </w:hyperlink>
        </w:p>
        <w:p>
          <w:pPr>
            <w:pStyle w:val="BodyText"/>
            <w:ind w:left="445"/>
            <w:spacing w:before="259" w:line="193" w:lineRule="auto"/>
            <w:tabs>
              <w:tab w:val="right" w:leader="dot" w:pos="8320"/>
            </w:tabs>
            <w:rPr>
              <w:rFonts w:ascii="Calibri" w:hAnsi="Calibri" w:eastAsia="Calibri" w:cs="Calibri"/>
            </w:rPr>
          </w:pPr>
          <w:bookmarkStart w:name="bookmark1" w:id="6"/>
          <w:bookmarkEnd w:id="6"/>
          <w:hyperlink w:history="true" w:anchor="bookmark6">
            <w:r>
              <w:rPr>
                <w:rFonts w:ascii="Calibri" w:hAnsi="Calibri" w:eastAsia="Calibri" w:cs="Calibri"/>
                <w:spacing w:val="4"/>
              </w:rPr>
              <w:t>2.1</w:t>
            </w:r>
            <w:r>
              <w:rPr>
                <w:rFonts w:ascii="Calibri" w:hAnsi="Calibri" w:eastAsia="Calibri" w:cs="Calibri"/>
                <w:spacing w:val="15"/>
                <w:w w:val="101"/>
              </w:rPr>
              <w:t xml:space="preserve"> </w:t>
            </w:r>
            <w:r>
              <w:rPr>
                <w:spacing w:val="4"/>
              </w:rPr>
              <w:t>产品介绍</w:t>
            </w:r>
            <w:r>
              <w:rPr>
                <w:spacing w:val="-56"/>
              </w:rPr>
              <w:t xml:space="preserve"> </w:t>
            </w:r>
            <w:r>
              <w:rPr/>
              <w:tab/>
            </w:r>
            <w:r>
              <w:rPr>
                <w:spacing w:val="-44"/>
              </w:rPr>
              <w:t xml:space="preserve"> </w:t>
            </w:r>
            <w:r>
              <w:rPr>
                <w:rFonts w:ascii="Calibri" w:hAnsi="Calibri" w:eastAsia="Calibri" w:cs="Calibri"/>
              </w:rPr>
              <w:t>3</w:t>
            </w:r>
          </w:hyperlink>
        </w:p>
        <w:p>
          <w:pPr>
            <w:pStyle w:val="BodyText"/>
            <w:ind w:left="445"/>
            <w:spacing w:before="259" w:line="193" w:lineRule="auto"/>
            <w:tabs>
              <w:tab w:val="right" w:leader="dot" w:pos="8320"/>
            </w:tabs>
            <w:rPr>
              <w:rFonts w:ascii="Calibri" w:hAnsi="Calibri" w:eastAsia="Calibri" w:cs="Calibri"/>
            </w:rPr>
          </w:pPr>
          <w:bookmarkStart w:name="bookmark1" w:id="7"/>
          <w:bookmarkEnd w:id="7"/>
          <w:hyperlink w:history="true" w:anchor="bookmark7">
            <w:r>
              <w:rPr>
                <w:rFonts w:ascii="Calibri" w:hAnsi="Calibri" w:eastAsia="Calibri" w:cs="Calibri"/>
                <w:spacing w:val="4"/>
              </w:rPr>
              <w:t>2.2</w:t>
            </w:r>
            <w:r>
              <w:rPr>
                <w:rFonts w:ascii="Calibri" w:hAnsi="Calibri" w:eastAsia="Calibri" w:cs="Calibri"/>
                <w:spacing w:val="16"/>
              </w:rPr>
              <w:t xml:space="preserve"> </w:t>
            </w:r>
            <w:r>
              <w:rPr>
                <w:spacing w:val="4"/>
              </w:rPr>
              <w:t>监测原理</w:t>
            </w:r>
            <w:r>
              <w:rPr>
                <w:spacing w:val="-56"/>
              </w:rPr>
              <w:t xml:space="preserve"> </w:t>
            </w:r>
            <w:r>
              <w:rPr/>
              <w:tab/>
            </w:r>
            <w:r>
              <w:rPr>
                <w:spacing w:val="-44"/>
              </w:rPr>
              <w:t xml:space="preserve"> </w:t>
            </w:r>
            <w:r>
              <w:rPr>
                <w:rFonts w:ascii="Calibri" w:hAnsi="Calibri" w:eastAsia="Calibri" w:cs="Calibri"/>
              </w:rPr>
              <w:t>3</w:t>
            </w:r>
          </w:hyperlink>
        </w:p>
        <w:p>
          <w:pPr>
            <w:pStyle w:val="BodyText"/>
            <w:ind w:left="864"/>
            <w:spacing w:before="259" w:line="193" w:lineRule="auto"/>
            <w:tabs>
              <w:tab w:val="right" w:leader="dot" w:pos="8320"/>
            </w:tabs>
            <w:rPr>
              <w:rFonts w:ascii="Calibri" w:hAnsi="Calibri" w:eastAsia="Calibri" w:cs="Calibri"/>
            </w:rPr>
          </w:pPr>
          <w:bookmarkStart w:name="bookmark1" w:id="8"/>
          <w:bookmarkEnd w:id="8"/>
          <w:hyperlink w:history="true" w:anchor="bookmark8">
            <w:r>
              <w:rPr>
                <w:spacing w:val="5"/>
              </w:rPr>
              <w:t>2.2.1</w:t>
            </w:r>
            <w:r>
              <w:rPr>
                <w:spacing w:val="-37"/>
              </w:rPr>
              <w:t xml:space="preserve"> </w:t>
            </w:r>
            <w:r>
              <w:rPr>
                <w:spacing w:val="5"/>
              </w:rPr>
              <w:t>超声波监测</w:t>
            </w:r>
            <w:r>
              <w:rPr>
                <w:spacing w:val="-56"/>
              </w:rPr>
              <w:t xml:space="preserve"> </w:t>
            </w:r>
            <w:r>
              <w:rPr/>
              <w:tab/>
            </w:r>
            <w:r>
              <w:rPr>
                <w:spacing w:val="-51"/>
              </w:rPr>
              <w:t xml:space="preserve"> </w:t>
            </w:r>
            <w:r>
              <w:rPr>
                <w:rFonts w:ascii="Calibri" w:hAnsi="Calibri" w:eastAsia="Calibri" w:cs="Calibri"/>
              </w:rPr>
              <w:t>3</w:t>
            </w:r>
          </w:hyperlink>
        </w:p>
        <w:p>
          <w:pPr>
            <w:pStyle w:val="BodyText"/>
            <w:ind w:left="864"/>
            <w:spacing w:before="259" w:line="193" w:lineRule="auto"/>
            <w:tabs>
              <w:tab w:val="right" w:leader="dot" w:pos="8320"/>
            </w:tabs>
            <w:rPr>
              <w:rFonts w:ascii="Calibri" w:hAnsi="Calibri" w:eastAsia="Calibri" w:cs="Calibri"/>
            </w:rPr>
          </w:pPr>
          <w:bookmarkStart w:name="bookmark9" w:id="9"/>
          <w:bookmarkEnd w:id="9"/>
          <w:hyperlink w:history="true" w:anchor="bookmark10">
            <w:r>
              <w:rPr>
                <w:spacing w:val="7"/>
              </w:rPr>
              <w:t>2.2.2</w:t>
            </w:r>
            <w:r>
              <w:rPr>
                <w:spacing w:val="-37"/>
              </w:rPr>
              <w:t xml:space="preserve"> </w:t>
            </w:r>
            <w:r>
              <w:rPr>
                <w:spacing w:val="7"/>
              </w:rPr>
              <w:t>地电波（暂态地电压）监测</w:t>
            </w:r>
            <w:r>
              <w:rPr>
                <w:spacing w:val="-56"/>
              </w:rPr>
              <w:t xml:space="preserve"> </w:t>
            </w:r>
            <w:r>
              <w:rPr/>
              <w:tab/>
            </w:r>
            <w:r>
              <w:rPr>
                <w:spacing w:val="-70"/>
              </w:rPr>
              <w:t xml:space="preserve"> </w:t>
            </w:r>
            <w:r>
              <w:rPr>
                <w:rFonts w:ascii="Calibri" w:hAnsi="Calibri" w:eastAsia="Calibri" w:cs="Calibri"/>
              </w:rPr>
              <w:t>4</w:t>
            </w:r>
          </w:hyperlink>
        </w:p>
        <w:p>
          <w:pPr>
            <w:pStyle w:val="BodyText"/>
            <w:ind w:left="864"/>
            <w:spacing w:before="259" w:line="193" w:lineRule="auto"/>
            <w:tabs>
              <w:tab w:val="right" w:leader="dot" w:pos="8320"/>
            </w:tabs>
            <w:rPr>
              <w:rFonts w:ascii="Calibri" w:hAnsi="Calibri" w:eastAsia="Calibri" w:cs="Calibri"/>
            </w:rPr>
          </w:pPr>
          <w:bookmarkStart w:name="bookmark11" w:id="10"/>
          <w:bookmarkEnd w:id="10"/>
          <w:hyperlink w:history="true" w:anchor="bookmark12">
            <w:r>
              <w:rPr>
                <w:spacing w:val="6"/>
              </w:rPr>
              <w:t>2.2.3 特高频监测(选配)</w:t>
            </w:r>
            <w:r>
              <w:rPr>
                <w:spacing w:val="-52"/>
              </w:rPr>
              <w:t xml:space="preserve"> </w:t>
            </w:r>
            <w:r>
              <w:rPr/>
              <w:tab/>
            </w:r>
            <w:r>
              <w:rPr>
                <w:spacing w:val="-56"/>
              </w:rPr>
              <w:t xml:space="preserve"> </w:t>
            </w:r>
            <w:r>
              <w:rPr>
                <w:rFonts w:ascii="Calibri" w:hAnsi="Calibri" w:eastAsia="Calibri" w:cs="Calibri"/>
              </w:rPr>
              <w:t>5</w:t>
            </w:r>
          </w:hyperlink>
        </w:p>
        <w:p>
          <w:pPr>
            <w:pStyle w:val="BodyText"/>
            <w:ind w:left="445"/>
            <w:spacing w:before="258" w:line="193" w:lineRule="auto"/>
            <w:tabs>
              <w:tab w:val="right" w:leader="dot" w:pos="8320"/>
            </w:tabs>
            <w:rPr>
              <w:rFonts w:ascii="Calibri" w:hAnsi="Calibri" w:eastAsia="Calibri" w:cs="Calibri"/>
            </w:rPr>
          </w:pPr>
          <w:bookmarkStart w:name="bookmark13" w:id="11"/>
          <w:bookmarkEnd w:id="11"/>
          <w:hyperlink w:history="true" w:anchor="bookmark14">
            <w:r>
              <w:rPr>
                <w:rFonts w:ascii="Calibri" w:hAnsi="Calibri" w:eastAsia="Calibri" w:cs="Calibri"/>
                <w:spacing w:val="4"/>
              </w:rPr>
              <w:t>2.3</w:t>
            </w:r>
            <w:r>
              <w:rPr>
                <w:rFonts w:ascii="Calibri" w:hAnsi="Calibri" w:eastAsia="Calibri" w:cs="Calibri"/>
                <w:spacing w:val="15"/>
                <w:w w:val="101"/>
              </w:rPr>
              <w:t xml:space="preserve"> </w:t>
            </w:r>
            <w:r>
              <w:rPr>
                <w:spacing w:val="4"/>
              </w:rPr>
              <w:t>产品功能</w:t>
            </w:r>
            <w:r>
              <w:rPr>
                <w:spacing w:val="-56"/>
              </w:rPr>
              <w:t xml:space="preserve"> </w:t>
            </w:r>
            <w:r>
              <w:rPr/>
              <w:tab/>
            </w:r>
            <w:r>
              <w:rPr>
                <w:spacing w:val="-44"/>
              </w:rPr>
              <w:t xml:space="preserve"> </w:t>
            </w:r>
            <w:r>
              <w:rPr>
                <w:rFonts w:ascii="Calibri" w:hAnsi="Calibri" w:eastAsia="Calibri" w:cs="Calibri"/>
              </w:rPr>
              <w:t>5</w:t>
            </w:r>
          </w:hyperlink>
        </w:p>
        <w:p>
          <w:pPr>
            <w:pStyle w:val="BodyText"/>
            <w:ind w:left="445"/>
            <w:spacing w:before="259" w:line="193" w:lineRule="auto"/>
            <w:tabs>
              <w:tab w:val="right" w:leader="dot" w:pos="8320"/>
            </w:tabs>
            <w:rPr>
              <w:rFonts w:ascii="Calibri" w:hAnsi="Calibri" w:eastAsia="Calibri" w:cs="Calibri"/>
            </w:rPr>
          </w:pPr>
          <w:bookmarkStart w:name="bookmark15" w:id="12"/>
          <w:bookmarkEnd w:id="12"/>
          <w:hyperlink w:history="true" w:anchor="bookmark16">
            <w:r>
              <w:rPr>
                <w:rFonts w:ascii="Calibri" w:hAnsi="Calibri" w:eastAsia="Calibri" w:cs="Calibri"/>
                <w:spacing w:val="4"/>
              </w:rPr>
              <w:t>2.4</w:t>
            </w:r>
            <w:r>
              <w:rPr>
                <w:rFonts w:ascii="Calibri" w:hAnsi="Calibri" w:eastAsia="Calibri" w:cs="Calibri"/>
                <w:spacing w:val="15"/>
                <w:w w:val="101"/>
              </w:rPr>
              <w:t xml:space="preserve"> </w:t>
            </w:r>
            <w:r>
              <w:rPr>
                <w:spacing w:val="4"/>
              </w:rPr>
              <w:t>产品参数</w:t>
            </w:r>
            <w:r>
              <w:rPr>
                <w:spacing w:val="-56"/>
              </w:rPr>
              <w:t xml:space="preserve"> </w:t>
            </w:r>
            <w:r>
              <w:rPr/>
              <w:tab/>
            </w:r>
            <w:r>
              <w:rPr>
                <w:spacing w:val="-44"/>
              </w:rPr>
              <w:t xml:space="preserve"> </w:t>
            </w:r>
            <w:r>
              <w:rPr>
                <w:rFonts w:ascii="Calibri" w:hAnsi="Calibri" w:eastAsia="Calibri" w:cs="Calibri"/>
              </w:rPr>
              <w:t>6</w:t>
            </w:r>
          </w:hyperlink>
        </w:p>
        <w:p>
          <w:pPr>
            <w:pStyle w:val="BodyText"/>
            <w:ind w:left="22"/>
            <w:spacing w:before="259" w:line="193" w:lineRule="auto"/>
            <w:tabs>
              <w:tab w:val="right" w:leader="dot" w:pos="8320"/>
            </w:tabs>
            <w:rPr>
              <w:rFonts w:ascii="Calibri" w:hAnsi="Calibri" w:eastAsia="Calibri" w:cs="Calibri"/>
            </w:rPr>
          </w:pPr>
          <w:bookmarkStart w:name="bookmark17" w:id="13"/>
          <w:bookmarkEnd w:id="13"/>
          <w:hyperlink w:history="true" w:anchor="bookmark18">
            <w:r>
              <w:rPr>
                <w:spacing w:val="8"/>
              </w:rPr>
              <w:t>三、安装示意图</w:t>
            </w:r>
            <w:r>
              <w:rPr>
                <w:spacing w:val="-55"/>
              </w:rPr>
              <w:t xml:space="preserve"> </w:t>
            </w:r>
            <w:r>
              <w:rPr/>
              <w:tab/>
            </w:r>
            <w:r>
              <w:rPr>
                <w:spacing w:val="-41"/>
              </w:rPr>
              <w:t xml:space="preserve"> </w:t>
            </w:r>
            <w:r>
              <w:rPr>
                <w:rFonts w:ascii="Calibri" w:hAnsi="Calibri" w:eastAsia="Calibri" w:cs="Calibri"/>
              </w:rPr>
              <w:t>7</w:t>
            </w:r>
          </w:hyperlink>
        </w:p>
        <w:p>
          <w:pPr>
            <w:pStyle w:val="BodyText"/>
            <w:ind w:left="41"/>
            <w:spacing w:before="259" w:line="193" w:lineRule="auto"/>
            <w:tabs>
              <w:tab w:val="right" w:leader="dot" w:pos="8320"/>
            </w:tabs>
            <w:rPr>
              <w:rFonts w:ascii="Calibri" w:hAnsi="Calibri" w:eastAsia="Calibri" w:cs="Calibri"/>
            </w:rPr>
          </w:pPr>
          <w:bookmarkStart w:name="bookmark19" w:id="14"/>
          <w:bookmarkEnd w:id="14"/>
          <w:hyperlink w:history="true" w:anchor="bookmark20">
            <w:r>
              <w:rPr>
                <w:spacing w:val="4"/>
              </w:rPr>
              <w:t>四、结构设计</w:t>
            </w:r>
            <w:r>
              <w:rPr>
                <w:spacing w:val="-51"/>
              </w:rPr>
              <w:t xml:space="preserve"> </w:t>
            </w:r>
            <w:r>
              <w:rPr/>
              <w:tab/>
            </w:r>
            <w:r>
              <w:rPr>
                <w:spacing w:val="-42"/>
              </w:rPr>
              <w:t xml:space="preserve"> </w:t>
            </w:r>
            <w:r>
              <w:rPr>
                <w:rFonts w:ascii="Calibri" w:hAnsi="Calibri" w:eastAsia="Calibri" w:cs="Calibri"/>
              </w:rPr>
              <w:t>8</w:t>
            </w:r>
          </w:hyperlink>
        </w:p>
        <w:p>
          <w:pPr>
            <w:pStyle w:val="BodyText"/>
            <w:ind w:left="25"/>
            <w:spacing w:before="259" w:line="227" w:lineRule="auto"/>
            <w:tabs>
              <w:tab w:val="right" w:leader="dot" w:pos="8320"/>
            </w:tabs>
            <w:rPr>
              <w:rFonts w:ascii="Calibri" w:hAnsi="Calibri" w:eastAsia="Calibri" w:cs="Calibri"/>
            </w:rPr>
          </w:pPr>
          <w:bookmarkStart w:name="bookmark21" w:id="15"/>
          <w:bookmarkEnd w:id="15"/>
          <w:hyperlink w:history="true" w:anchor="bookmark22">
            <w:r>
              <w:rPr>
                <w:spacing w:val="8"/>
              </w:rPr>
              <w:t>五、局放传感器使用方法</w:t>
            </w:r>
            <w:r>
              <w:rPr>
                <w:spacing w:val="-50"/>
              </w:rPr>
              <w:t xml:space="preserve"> </w:t>
            </w:r>
            <w:r>
              <w:rPr/>
              <w:tab/>
            </w:r>
            <w:r>
              <w:rPr>
                <w:spacing w:val="-50"/>
              </w:rPr>
              <w:t xml:space="preserve"> </w:t>
            </w:r>
            <w:r>
              <w:rPr>
                <w:rFonts w:ascii="Calibri" w:hAnsi="Calibri" w:eastAsia="Calibri" w:cs="Calibri"/>
              </w:rPr>
              <w:t>9</w:t>
            </w:r>
          </w:hyperlink>
        </w:p>
      </w:sdtContent>
    </w:sdt>
    <w:p>
      <w:pPr>
        <w:spacing w:line="227" w:lineRule="auto"/>
        <w:sectPr>
          <w:footerReference w:type="default" r:id="rId5"/>
          <w:pgSz w:w="11906" w:h="16839"/>
          <w:pgMar w:top="400" w:right="1785" w:bottom="855" w:left="1785" w:header="0" w:footer="690" w:gutter="0"/>
        </w:sectPr>
        <w:rPr>
          <w:rFonts w:ascii="Calibri" w:hAnsi="Calibri" w:eastAsia="Calibri" w:cs="Calibri"/>
        </w:rPr>
      </w:pP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9"/>
        <w:spacing w:before="100" w:line="225" w:lineRule="auto"/>
        <w:outlineLvl w:val="0"/>
        <w:rPr>
          <w:sz w:val="31"/>
          <w:szCs w:val="31"/>
        </w:rPr>
      </w:pPr>
      <w:bookmarkStart w:name="bookmark2" w:id="16"/>
      <w:bookmarkEnd w:id="16"/>
      <w:bookmarkStart w:name="bookmark3" w:id="17"/>
      <w:bookmarkEnd w:id="17"/>
      <w:bookmarkStart w:name="bookmark1" w:id="18"/>
      <w:bookmarkEnd w:id="18"/>
      <w:r>
        <w:rPr>
          <w:sz w:val="31"/>
          <w:szCs w:val="31"/>
          <w:b/>
          <w:bCs/>
          <w:spacing w:val="-15"/>
        </w:rPr>
        <w:t>一</w:t>
      </w:r>
      <w:r>
        <w:rPr>
          <w:sz w:val="31"/>
          <w:szCs w:val="31"/>
          <w:spacing w:val="-116"/>
        </w:rPr>
        <w:t xml:space="preserve"> </w:t>
      </w:r>
      <w:r>
        <w:rPr>
          <w:sz w:val="31"/>
          <w:szCs w:val="31"/>
          <w:b/>
          <w:bCs/>
          <w:spacing w:val="-15"/>
        </w:rPr>
        <w:t>、</w:t>
      </w:r>
      <w:r>
        <w:rPr>
          <w:sz w:val="31"/>
          <w:szCs w:val="31"/>
          <w:spacing w:val="-134"/>
        </w:rPr>
        <w:t xml:space="preserve"> </w:t>
      </w:r>
      <w:r>
        <w:rPr>
          <w:sz w:val="31"/>
          <w:szCs w:val="31"/>
          <w:b/>
          <w:bCs/>
          <w:spacing w:val="-15"/>
        </w:rPr>
        <w:t>概</w:t>
      </w:r>
      <w:r>
        <w:rPr>
          <w:sz w:val="31"/>
          <w:szCs w:val="31"/>
          <w:spacing w:val="19"/>
        </w:rPr>
        <w:t xml:space="preserve"> </w:t>
      </w:r>
      <w:r>
        <w:rPr>
          <w:sz w:val="31"/>
          <w:szCs w:val="31"/>
          <w:b/>
          <w:bCs/>
          <w:spacing w:val="-15"/>
        </w:rPr>
        <w:t>述</w:t>
      </w:r>
    </w:p>
    <w:p>
      <w:pPr>
        <w:pStyle w:val="BodyText"/>
        <w:ind w:left="12"/>
        <w:spacing w:before="264" w:line="221" w:lineRule="auto"/>
        <w:outlineLvl w:val="1"/>
        <w:rPr>
          <w:sz w:val="28"/>
          <w:szCs w:val="28"/>
        </w:rPr>
      </w:pPr>
      <w:bookmarkStart w:name="bookmark1" w:id="19"/>
      <w:bookmarkEnd w:id="19"/>
      <w:r>
        <w:rPr>
          <w:rFonts w:ascii="Calibri" w:hAnsi="Calibri" w:eastAsia="Calibri" w:cs="Calibri"/>
          <w:sz w:val="28"/>
          <w:szCs w:val="28"/>
          <w:b/>
          <w:bCs/>
          <w:spacing w:val="-6"/>
        </w:rPr>
        <w:t>1.1</w:t>
      </w:r>
      <w:r>
        <w:rPr>
          <w:rFonts w:ascii="Calibri" w:hAnsi="Calibri" w:eastAsia="Calibri" w:cs="Calibri"/>
          <w:sz w:val="28"/>
          <w:szCs w:val="28"/>
          <w:b/>
          <w:bCs/>
          <w:spacing w:val="20"/>
        </w:rPr>
        <w:t xml:space="preserve"> </w:t>
      </w:r>
      <w:r>
        <w:rPr>
          <w:sz w:val="28"/>
          <w:szCs w:val="28"/>
          <w:b/>
          <w:bCs/>
          <w:spacing w:val="-6"/>
        </w:rPr>
        <w:t>注意事项</w:t>
      </w:r>
    </w:p>
    <w:p>
      <w:pPr>
        <w:pStyle w:val="BodyText"/>
        <w:ind w:right="192" w:firstLine="422"/>
        <w:spacing w:before="246" w:line="417" w:lineRule="auto"/>
        <w:rPr/>
      </w:pPr>
      <w:r>
        <w:rPr>
          <w:spacing w:val="11"/>
        </w:rPr>
        <w:t>局放监测智能终端器主要用于开关柜、环网</w:t>
      </w:r>
      <w:r>
        <w:rPr>
          <w:spacing w:val="10"/>
        </w:rPr>
        <w:t>柜等设备的绝缘状态监测与报警，并提供相</w:t>
      </w:r>
      <w:r>
        <w:rPr/>
        <w:t xml:space="preserve"> </w:t>
      </w:r>
      <w:r>
        <w:rPr>
          <w:spacing w:val="8"/>
        </w:rPr>
        <w:t>应的数据查看及曲线分析等功能。</w:t>
      </w:r>
    </w:p>
    <w:p>
      <w:pPr>
        <w:pStyle w:val="BodyText"/>
        <w:ind w:left="17"/>
        <w:spacing w:before="31" w:line="227" w:lineRule="auto"/>
        <w:rPr/>
      </w:pPr>
      <w:r>
        <w:rPr>
          <w:spacing w:val="6"/>
        </w:rPr>
        <w:t>※</w:t>
      </w:r>
      <w:r>
        <w:rPr>
          <w:b/>
          <w:bCs/>
          <w:spacing w:val="6"/>
        </w:rPr>
        <w:t>使用本产品应注意以下条款：</w:t>
      </w:r>
    </w:p>
    <w:p>
      <w:pPr>
        <w:pStyle w:val="BodyText"/>
        <w:ind w:left="71" w:right="3188"/>
        <w:spacing w:before="221" w:line="417" w:lineRule="auto"/>
        <w:rPr/>
      </w:pPr>
      <w:r>
        <w:rPr>
          <w:spacing w:val="3"/>
        </w:rPr>
        <w:t>·使用环境：温度</w:t>
      </w:r>
      <w:r>
        <w:rPr>
          <w:rFonts w:ascii="Calibri" w:hAnsi="Calibri" w:eastAsia="Calibri" w:cs="Calibri"/>
          <w:spacing w:val="3"/>
        </w:rPr>
        <w:t>-30</w:t>
      </w:r>
      <w:r>
        <w:rPr>
          <w:spacing w:val="3"/>
        </w:rPr>
        <w:t>℃</w:t>
      </w:r>
      <w:r>
        <w:rPr>
          <w:rFonts w:ascii="Calibri" w:hAnsi="Calibri" w:eastAsia="Calibri" w:cs="Calibri"/>
          <w:spacing w:val="3"/>
        </w:rPr>
        <w:t>~70</w:t>
      </w:r>
      <w:r>
        <w:rPr>
          <w:spacing w:val="3"/>
        </w:rPr>
        <w:t>℃,</w:t>
      </w:r>
      <w:r>
        <w:rPr>
          <w:spacing w:val="59"/>
        </w:rPr>
        <w:t xml:space="preserve"> </w:t>
      </w:r>
      <w:r>
        <w:rPr>
          <w:spacing w:val="3"/>
        </w:rPr>
        <w:t>相对湿度</w:t>
      </w:r>
      <w:r>
        <w:rPr>
          <w:rFonts w:ascii="Calibri" w:hAnsi="Calibri" w:eastAsia="Calibri" w:cs="Calibri"/>
          <w:spacing w:val="2"/>
        </w:rPr>
        <w:t>&lt;90%</w:t>
      </w:r>
      <w:r>
        <w:rPr>
          <w:spacing w:val="2"/>
        </w:rPr>
        <w:t>，室内使用。</w:t>
      </w:r>
      <w:r>
        <w:rPr/>
        <w:t xml:space="preserve"> </w:t>
      </w:r>
      <w:r>
        <w:rPr>
          <w:spacing w:val="1"/>
        </w:rPr>
        <w:t>·远离易燃易爆危险品。</w:t>
      </w:r>
    </w:p>
    <w:p>
      <w:pPr>
        <w:pStyle w:val="BodyText"/>
        <w:ind w:left="71"/>
        <w:spacing w:before="33" w:line="227" w:lineRule="auto"/>
        <w:rPr/>
      </w:pPr>
      <w:r>
        <w:rPr/>
        <w:t>·请按照说明书接线。</w:t>
      </w:r>
    </w:p>
    <w:p>
      <w:pPr>
        <w:pStyle w:val="BodyText"/>
        <w:ind w:left="71"/>
        <w:spacing w:before="222" w:line="228" w:lineRule="auto"/>
        <w:rPr/>
      </w:pPr>
      <w:r>
        <w:rPr>
          <w:spacing w:val="7"/>
        </w:rPr>
        <w:t>·如有液体与腐蚀性物质接触到仪器，应立</w:t>
      </w:r>
      <w:r>
        <w:rPr>
          <w:spacing w:val="6"/>
        </w:rPr>
        <w:t>即停止使用并断电。</w:t>
      </w:r>
    </w:p>
    <w:p>
      <w:pPr>
        <w:pStyle w:val="BodyText"/>
        <w:ind w:left="71"/>
        <w:spacing w:before="221" w:line="228" w:lineRule="auto"/>
        <w:rPr/>
      </w:pPr>
      <w:r>
        <w:rPr>
          <w:spacing w:val="7"/>
        </w:rPr>
        <w:t>·设备不得自行拆卸，我公司将对自行拆卸后的产品不进行维修服务。</w:t>
      </w:r>
    </w:p>
    <w:p>
      <w:pPr>
        <w:pStyle w:val="BodyText"/>
        <w:ind w:left="12"/>
        <w:spacing w:before="265" w:line="221" w:lineRule="auto"/>
        <w:outlineLvl w:val="1"/>
        <w:rPr>
          <w:sz w:val="28"/>
          <w:szCs w:val="28"/>
        </w:rPr>
      </w:pPr>
      <w:bookmarkStart w:name="bookmark4" w:id="20"/>
      <w:bookmarkEnd w:id="20"/>
      <w:bookmarkStart w:name="bookmark1" w:id="21"/>
      <w:bookmarkEnd w:id="21"/>
      <w:r>
        <w:rPr>
          <w:rFonts w:ascii="Calibri" w:hAnsi="Calibri" w:eastAsia="Calibri" w:cs="Calibri"/>
          <w:sz w:val="28"/>
          <w:szCs w:val="28"/>
          <w:b/>
          <w:bCs/>
          <w:spacing w:val="-6"/>
        </w:rPr>
        <w:t>1.2</w:t>
      </w:r>
      <w:r>
        <w:rPr>
          <w:rFonts w:ascii="Calibri" w:hAnsi="Calibri" w:eastAsia="Calibri" w:cs="Calibri"/>
          <w:sz w:val="28"/>
          <w:szCs w:val="28"/>
          <w:b/>
          <w:bCs/>
          <w:spacing w:val="20"/>
        </w:rPr>
        <w:t xml:space="preserve"> </w:t>
      </w:r>
      <w:r>
        <w:rPr>
          <w:sz w:val="28"/>
          <w:szCs w:val="28"/>
          <w:b/>
          <w:bCs/>
          <w:spacing w:val="-6"/>
        </w:rPr>
        <w:t>应用领域</w:t>
      </w:r>
    </w:p>
    <w:p>
      <w:pPr>
        <w:pStyle w:val="BodyText"/>
        <w:ind w:left="71"/>
        <w:spacing w:before="246" w:line="228" w:lineRule="auto"/>
        <w:rPr/>
      </w:pPr>
      <w:r>
        <w:rPr>
          <w:spacing w:val="-2"/>
        </w:rPr>
        <w:t>·发、配电企业</w:t>
      </w:r>
    </w:p>
    <w:p>
      <w:pPr>
        <w:pStyle w:val="BodyText"/>
        <w:ind w:left="71"/>
        <w:spacing w:before="220" w:line="227" w:lineRule="auto"/>
        <w:rPr/>
      </w:pPr>
      <w:r>
        <w:rPr/>
        <w:t>·石油化工供电系统</w:t>
      </w:r>
    </w:p>
    <w:p>
      <w:pPr>
        <w:pStyle w:val="BodyText"/>
        <w:ind w:left="9"/>
        <w:spacing w:before="248" w:line="224" w:lineRule="auto"/>
        <w:outlineLvl w:val="0"/>
        <w:rPr>
          <w:sz w:val="31"/>
          <w:szCs w:val="31"/>
        </w:rPr>
      </w:pPr>
      <w:bookmarkStart w:name="bookmark5" w:id="22"/>
      <w:bookmarkEnd w:id="22"/>
      <w:bookmarkStart w:name="bookmark6" w:id="23"/>
      <w:bookmarkEnd w:id="23"/>
      <w:bookmarkStart w:name="bookmark1" w:id="24"/>
      <w:bookmarkEnd w:id="24"/>
      <w:r>
        <w:rPr>
          <w:sz w:val="31"/>
          <w:szCs w:val="31"/>
          <w:b/>
          <w:bCs/>
          <w:spacing w:val="4"/>
        </w:rPr>
        <w:t>二、产品介绍</w:t>
      </w:r>
    </w:p>
    <w:p>
      <w:pPr>
        <w:pStyle w:val="BodyText"/>
        <w:ind w:left="3"/>
        <w:spacing w:before="267" w:line="219" w:lineRule="auto"/>
        <w:outlineLvl w:val="1"/>
        <w:rPr>
          <w:sz w:val="28"/>
          <w:szCs w:val="28"/>
        </w:rPr>
      </w:pPr>
      <w:bookmarkStart w:name="bookmark1" w:id="25"/>
      <w:bookmarkEnd w:id="25"/>
      <w:r>
        <w:rPr>
          <w:rFonts w:ascii="Calibri" w:hAnsi="Calibri" w:eastAsia="Calibri" w:cs="Calibri"/>
          <w:sz w:val="28"/>
          <w:szCs w:val="28"/>
          <w:b/>
          <w:bCs/>
          <w:spacing w:val="-5"/>
        </w:rPr>
        <w:t>2.1</w:t>
      </w:r>
      <w:r>
        <w:rPr>
          <w:rFonts w:ascii="Calibri" w:hAnsi="Calibri" w:eastAsia="Calibri" w:cs="Calibri"/>
          <w:sz w:val="28"/>
          <w:szCs w:val="28"/>
          <w:b/>
          <w:bCs/>
          <w:spacing w:val="21"/>
        </w:rPr>
        <w:t xml:space="preserve"> </w:t>
      </w:r>
      <w:r>
        <w:rPr>
          <w:sz w:val="28"/>
          <w:szCs w:val="28"/>
          <w:b/>
          <w:bCs/>
          <w:spacing w:val="-5"/>
        </w:rPr>
        <w:t>产品介绍</w:t>
      </w:r>
    </w:p>
    <w:p>
      <w:pPr>
        <w:pStyle w:val="BodyText"/>
        <w:ind w:firstLine="419"/>
        <w:spacing w:before="248" w:line="417" w:lineRule="auto"/>
        <w:rPr/>
      </w:pPr>
      <w:r>
        <w:rPr>
          <w:spacing w:val="25"/>
        </w:rPr>
        <w:t>针对开关柜局放检测</w:t>
      </w:r>
      <w:r>
        <w:rPr>
          <w:spacing w:val="-51"/>
        </w:rPr>
        <w:t xml:space="preserve"> </w:t>
      </w:r>
      <w:r>
        <w:rPr>
          <w:spacing w:val="25"/>
        </w:rPr>
        <w:t>，还处于传统的周期性人工巡检或停电试验阶段</w:t>
      </w:r>
      <w:r>
        <w:rPr>
          <w:spacing w:val="-55"/>
        </w:rPr>
        <w:t xml:space="preserve"> </w:t>
      </w:r>
      <w:r>
        <w:rPr>
          <w:spacing w:val="25"/>
        </w:rPr>
        <w:t>，实时监测手</w:t>
      </w:r>
      <w:r>
        <w:rPr/>
        <w:t xml:space="preserve"> </w:t>
      </w:r>
      <w:r>
        <w:rPr>
          <w:spacing w:val="21"/>
        </w:rPr>
        <w:t>段较少</w:t>
      </w:r>
      <w:r>
        <w:rPr>
          <w:spacing w:val="-52"/>
        </w:rPr>
        <w:t xml:space="preserve"> </w:t>
      </w:r>
      <w:r>
        <w:rPr>
          <w:spacing w:val="21"/>
        </w:rPr>
        <w:t>，运行状态不能随时掌握</w:t>
      </w:r>
      <w:r>
        <w:rPr>
          <w:spacing w:val="-58"/>
        </w:rPr>
        <w:t xml:space="preserve"> </w:t>
      </w:r>
      <w:r>
        <w:rPr>
          <w:spacing w:val="21"/>
        </w:rPr>
        <w:t>，监测工作被动</w:t>
      </w:r>
      <w:r>
        <w:rPr>
          <w:spacing w:val="-58"/>
        </w:rPr>
        <w:t xml:space="preserve"> </w:t>
      </w:r>
      <w:r>
        <w:rPr>
          <w:spacing w:val="21"/>
        </w:rPr>
        <w:t>，无时无刻不存在安全隐患的痛点。</w:t>
      </w:r>
    </w:p>
    <w:p>
      <w:pPr>
        <w:pStyle w:val="BodyText"/>
        <w:spacing w:before="32" w:line="422" w:lineRule="auto"/>
        <w:rPr/>
      </w:pPr>
      <w:r>
        <w:rPr>
          <w:spacing w:val="24"/>
        </w:rPr>
        <w:t>我公司推出的局放在线监测终端</w:t>
      </w:r>
      <w:r>
        <w:rPr>
          <w:spacing w:val="-42"/>
        </w:rPr>
        <w:t xml:space="preserve"> </w:t>
      </w:r>
      <w:r>
        <w:rPr>
          <w:spacing w:val="24"/>
        </w:rPr>
        <w:t>，完美的替代人工巡检的弊端</w:t>
      </w:r>
      <w:r>
        <w:rPr>
          <w:spacing w:val="-58"/>
        </w:rPr>
        <w:t xml:space="preserve"> </w:t>
      </w:r>
      <w:r>
        <w:rPr>
          <w:spacing w:val="24"/>
        </w:rPr>
        <w:t>，可以对开关柜的设备绝</w:t>
      </w:r>
      <w:r>
        <w:rPr/>
        <w:t xml:space="preserve"> </w:t>
      </w:r>
      <w:r>
        <w:rPr>
          <w:spacing w:val="24"/>
        </w:rPr>
        <w:t>缘情况进行实时在线监测</w:t>
      </w:r>
      <w:r>
        <w:rPr>
          <w:spacing w:val="-47"/>
        </w:rPr>
        <w:t xml:space="preserve"> </w:t>
      </w:r>
      <w:r>
        <w:rPr>
          <w:spacing w:val="24"/>
        </w:rPr>
        <w:t>，实时精准了解开关柜的安全状态</w:t>
      </w:r>
      <w:r>
        <w:rPr>
          <w:spacing w:val="-52"/>
        </w:rPr>
        <w:t xml:space="preserve"> </w:t>
      </w:r>
      <w:r>
        <w:rPr>
          <w:spacing w:val="24"/>
        </w:rPr>
        <w:t>。增加电网的供电安全可靠</w:t>
      </w:r>
      <w:r>
        <w:rPr/>
        <w:t xml:space="preserve"> </w:t>
      </w:r>
      <w:r>
        <w:rPr>
          <w:spacing w:val="20"/>
        </w:rPr>
        <w:t>性</w:t>
      </w:r>
      <w:r>
        <w:rPr>
          <w:spacing w:val="-48"/>
        </w:rPr>
        <w:t xml:space="preserve"> </w:t>
      </w:r>
      <w:r>
        <w:rPr>
          <w:spacing w:val="20"/>
        </w:rPr>
        <w:t>，</w:t>
      </w:r>
      <w:r>
        <w:rPr>
          <w:spacing w:val="-49"/>
        </w:rPr>
        <w:t xml:space="preserve"> </w:t>
      </w:r>
      <w:r>
        <w:rPr>
          <w:spacing w:val="20"/>
        </w:rPr>
        <w:t>同时也为智能电网的建设起到积极的促进作用。</w:t>
      </w:r>
    </w:p>
    <w:p>
      <w:pPr>
        <w:pStyle w:val="BodyText"/>
        <w:ind w:left="3"/>
        <w:spacing w:before="77" w:line="221" w:lineRule="auto"/>
        <w:outlineLvl w:val="1"/>
        <w:rPr>
          <w:sz w:val="28"/>
          <w:szCs w:val="28"/>
        </w:rPr>
      </w:pPr>
      <w:r>
        <w:drawing>
          <wp:anchor distT="0" distB="0" distL="0" distR="0" simplePos="0" relativeHeight="251658240" behindDoc="0" locked="0" layoutInCell="1" allowOverlap="1">
            <wp:simplePos x="0" y="0"/>
            <wp:positionH relativeFrom="column">
              <wp:posOffset>1348136</wp:posOffset>
            </wp:positionH>
            <wp:positionV relativeFrom="paragraph">
              <wp:posOffset>218299</wp:posOffset>
            </wp:positionV>
            <wp:extent cx="1932432" cy="1520951"/>
            <wp:effectExtent l="0" t="0" r="0" b="0"/>
            <wp:wrapNone/>
            <wp:docPr id="6" name="IM 6"/>
            <wp:cNvGraphicFramePr/>
            <a:graphic>
              <a:graphicData uri="http://schemas.openxmlformats.org/drawingml/2006/picture">
                <pic:pic>
                  <pic:nvPicPr>
                    <pic:cNvPr id="6" name="IM 6"/>
                    <pic:cNvPicPr/>
                  </pic:nvPicPr>
                  <pic:blipFill>
                    <a:blip r:embed="rId7"/>
                    <a:stretch>
                      <a:fillRect/>
                    </a:stretch>
                  </pic:blipFill>
                  <pic:spPr>
                    <a:xfrm rot="0">
                      <a:off x="0" y="0"/>
                      <a:ext cx="1932432" cy="1520951"/>
                    </a:xfrm>
                    <a:prstGeom prst="rect">
                      <a:avLst/>
                    </a:prstGeom>
                  </pic:spPr>
                </pic:pic>
              </a:graphicData>
            </a:graphic>
          </wp:anchor>
        </w:drawing>
      </w:r>
      <w:r>
        <w:drawing>
          <wp:anchor distT="0" distB="0" distL="0" distR="0" simplePos="0" relativeHeight="251659264" behindDoc="0" locked="0" layoutInCell="1" allowOverlap="1">
            <wp:simplePos x="0" y="0"/>
            <wp:positionH relativeFrom="column">
              <wp:posOffset>3623467</wp:posOffset>
            </wp:positionH>
            <wp:positionV relativeFrom="paragraph">
              <wp:posOffset>280782</wp:posOffset>
            </wp:positionV>
            <wp:extent cx="1793747" cy="1345692"/>
            <wp:effectExtent l="0" t="0" r="0" b="0"/>
            <wp:wrapNone/>
            <wp:docPr id="8" name="IM 8"/>
            <wp:cNvGraphicFramePr/>
            <a:graphic>
              <a:graphicData uri="http://schemas.openxmlformats.org/drawingml/2006/picture">
                <pic:pic>
                  <pic:nvPicPr>
                    <pic:cNvPr id="8" name="IM 8"/>
                    <pic:cNvPicPr/>
                  </pic:nvPicPr>
                  <pic:blipFill>
                    <a:blip r:embed="rId8"/>
                    <a:stretch>
                      <a:fillRect/>
                    </a:stretch>
                  </pic:blipFill>
                  <pic:spPr>
                    <a:xfrm rot="0">
                      <a:off x="0" y="0"/>
                      <a:ext cx="1793747" cy="1345692"/>
                    </a:xfrm>
                    <a:prstGeom prst="rect">
                      <a:avLst/>
                    </a:prstGeom>
                  </pic:spPr>
                </pic:pic>
              </a:graphicData>
            </a:graphic>
          </wp:anchor>
        </w:drawing>
      </w:r>
      <w:bookmarkStart w:name="bookmark7" w:id="26"/>
      <w:bookmarkEnd w:id="26"/>
      <w:bookmarkStart w:name="bookmark8" w:id="27"/>
      <w:bookmarkEnd w:id="27"/>
      <w:bookmarkStart w:name="bookmark1" w:id="28"/>
      <w:bookmarkEnd w:id="28"/>
      <w:r>
        <w:rPr>
          <w:rFonts w:ascii="Calibri" w:hAnsi="Calibri" w:eastAsia="Calibri" w:cs="Calibri"/>
          <w:sz w:val="28"/>
          <w:szCs w:val="28"/>
          <w:b/>
          <w:bCs/>
          <w:spacing w:val="-5"/>
        </w:rPr>
        <w:t>2.2</w:t>
      </w:r>
      <w:r>
        <w:rPr>
          <w:rFonts w:ascii="Calibri" w:hAnsi="Calibri" w:eastAsia="Calibri" w:cs="Calibri"/>
          <w:sz w:val="28"/>
          <w:szCs w:val="28"/>
          <w:b/>
          <w:bCs/>
          <w:spacing w:val="21"/>
        </w:rPr>
        <w:t xml:space="preserve"> </w:t>
      </w:r>
      <w:r>
        <w:rPr>
          <w:sz w:val="28"/>
          <w:szCs w:val="28"/>
          <w:b/>
          <w:bCs/>
          <w:spacing w:val="-5"/>
        </w:rPr>
        <w:t>监测原理</w:t>
      </w:r>
    </w:p>
    <w:p>
      <w:pPr>
        <w:pStyle w:val="BodyText"/>
        <w:ind w:left="2"/>
        <w:spacing w:before="244" w:line="228" w:lineRule="auto"/>
        <w:outlineLvl w:val="2"/>
        <w:rPr/>
      </w:pPr>
      <w:bookmarkStart w:name="bookmark1" w:id="29"/>
      <w:bookmarkEnd w:id="29"/>
      <w:r>
        <w:rPr>
          <w:b/>
          <w:bCs/>
          <w:spacing w:val="4"/>
        </w:rPr>
        <w:t>2.2.1</w:t>
      </w:r>
      <w:r>
        <w:rPr>
          <w:spacing w:val="-41"/>
        </w:rPr>
        <w:t xml:space="preserve"> </w:t>
      </w:r>
      <w:r>
        <w:rPr>
          <w:b/>
          <w:bCs/>
          <w:spacing w:val="4"/>
        </w:rPr>
        <w:t>超声波监测</w:t>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BodyText"/>
        <w:ind w:left="3800"/>
        <w:spacing w:before="66" w:line="228" w:lineRule="auto"/>
        <w:rPr/>
      </w:pPr>
      <w:r>
        <w:rPr>
          <w:spacing w:val="3"/>
        </w:rPr>
        <w:t>图</w:t>
      </w:r>
      <w:r>
        <w:rPr>
          <w:spacing w:val="-18"/>
        </w:rPr>
        <w:t xml:space="preserve"> </w:t>
      </w:r>
      <w:r>
        <w:rPr>
          <w:spacing w:val="3"/>
        </w:rPr>
        <w:t>1 超声波放电原理</w:t>
      </w:r>
    </w:p>
    <w:p>
      <w:pPr>
        <w:spacing w:line="228" w:lineRule="auto"/>
        <w:sectPr>
          <w:footerReference w:type="default" r:id="rId6"/>
          <w:pgSz w:w="11906" w:h="16839"/>
          <w:pgMar w:top="400" w:right="1650" w:bottom="1376" w:left="1640" w:header="0" w:footer="1212" w:gutter="0"/>
        </w:sectPr>
        <w:rPr/>
      </w:pP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ind w:firstLine="2045"/>
        <w:spacing w:line="2937" w:lineRule="exact"/>
        <w:rPr/>
      </w:pPr>
      <w:r>
        <w:rPr>
          <w:position w:val="-58"/>
        </w:rPr>
        <w:drawing>
          <wp:inline distT="0" distB="0" distL="0" distR="0">
            <wp:extent cx="2892551" cy="1865376"/>
            <wp:effectExtent l="0" t="0" r="0" b="0"/>
            <wp:docPr id="10" name="IM 10"/>
            <wp:cNvGraphicFramePr/>
            <a:graphic>
              <a:graphicData uri="http://schemas.openxmlformats.org/drawingml/2006/picture">
                <pic:pic>
                  <pic:nvPicPr>
                    <pic:cNvPr id="10" name="IM 10"/>
                    <pic:cNvPicPr/>
                  </pic:nvPicPr>
                  <pic:blipFill>
                    <a:blip r:embed="rId10"/>
                    <a:stretch>
                      <a:fillRect/>
                    </a:stretch>
                  </pic:blipFill>
                  <pic:spPr>
                    <a:xfrm rot="0">
                      <a:off x="0" y="0"/>
                      <a:ext cx="2892551" cy="1865376"/>
                    </a:xfrm>
                    <a:prstGeom prst="rect">
                      <a:avLst/>
                    </a:prstGeom>
                  </pic:spPr>
                </pic:pic>
              </a:graphicData>
            </a:graphic>
          </wp:inline>
        </w:drawing>
      </w:r>
    </w:p>
    <w:p>
      <w:pPr>
        <w:spacing w:line="452" w:lineRule="auto"/>
        <w:rPr>
          <w:rFonts w:ascii="Arial"/>
          <w:sz w:val="21"/>
        </w:rPr>
      </w:pPr>
      <w:r/>
    </w:p>
    <w:p>
      <w:pPr>
        <w:pStyle w:val="BodyText"/>
        <w:ind w:left="3173"/>
        <w:spacing w:before="65" w:line="228" w:lineRule="auto"/>
        <w:rPr/>
      </w:pPr>
      <w:r>
        <w:rPr>
          <w:spacing w:val="4"/>
        </w:rPr>
        <w:t>图</w:t>
      </w:r>
      <w:r>
        <w:rPr>
          <w:spacing w:val="-28"/>
        </w:rPr>
        <w:t xml:space="preserve"> </w:t>
      </w:r>
      <w:r>
        <w:rPr>
          <w:spacing w:val="4"/>
        </w:rPr>
        <w:t>2 超声波放电波形</w:t>
      </w:r>
    </w:p>
    <w:p>
      <w:pPr>
        <w:pStyle w:val="BodyText"/>
        <w:ind w:left="1" w:right="73" w:firstLine="422"/>
        <w:spacing w:before="220" w:line="422" w:lineRule="auto"/>
        <w:jc w:val="both"/>
        <w:rPr/>
      </w:pPr>
      <w:r>
        <w:rPr>
          <w:spacing w:val="10"/>
        </w:rPr>
        <w:t>局部放电前，放电点周围的电场应力、介质应力、粒子力处于相对平衡状态。局部放电是</w:t>
      </w:r>
      <w:r>
        <w:rPr>
          <w:spacing w:val="15"/>
        </w:rPr>
        <w:t xml:space="preserve"> </w:t>
      </w:r>
      <w:r>
        <w:rPr>
          <w:spacing w:val="10"/>
        </w:rPr>
        <w:t>一种快速的电荷释放或迁移过程，导致放电点周围的电场应力、机械应力与粒子力失去平衡状</w:t>
      </w:r>
      <w:r>
        <w:rPr>
          <w:spacing w:val="18"/>
        </w:rPr>
        <w:t xml:space="preserve"> </w:t>
      </w:r>
      <w:r>
        <w:rPr>
          <w:spacing w:val="8"/>
        </w:rPr>
        <w:t>态而产生振荡变化过程；</w:t>
      </w:r>
    </w:p>
    <w:p>
      <w:pPr>
        <w:pStyle w:val="BodyText"/>
        <w:ind w:left="2" w:right="73" w:firstLine="418"/>
        <w:spacing w:before="32" w:line="417" w:lineRule="auto"/>
        <w:rPr/>
      </w:pPr>
      <w:r>
        <w:rPr>
          <w:spacing w:val="11"/>
        </w:rPr>
        <w:t>机械应力与粒子力的快速振荡，导致放电点</w:t>
      </w:r>
      <w:r>
        <w:rPr>
          <w:spacing w:val="10"/>
        </w:rPr>
        <w:t>周围介质振动，从而产生声波信号，通过压电</w:t>
      </w:r>
      <w:r>
        <w:rPr/>
        <w:t xml:space="preserve"> </w:t>
      </w:r>
      <w:r>
        <w:rPr>
          <w:spacing w:val="8"/>
        </w:rPr>
        <w:t>转换传感器达到测量目的。</w:t>
      </w:r>
    </w:p>
    <w:p>
      <w:pPr>
        <w:pStyle w:val="BodyText"/>
        <w:ind w:right="87" w:firstLine="454"/>
        <w:spacing w:before="32" w:line="417" w:lineRule="auto"/>
        <w:rPr/>
      </w:pPr>
      <w:r>
        <w:rPr>
          <w:spacing w:val="23"/>
        </w:rPr>
        <w:t>超声波信号是以空气作为传播介质</w:t>
      </w:r>
      <w:r>
        <w:rPr>
          <w:spacing w:val="-56"/>
        </w:rPr>
        <w:t xml:space="preserve"> </w:t>
      </w:r>
      <w:r>
        <w:rPr>
          <w:spacing w:val="23"/>
        </w:rPr>
        <w:t>，会通过柜体传播出去</w:t>
      </w:r>
      <w:r>
        <w:rPr>
          <w:spacing w:val="-56"/>
        </w:rPr>
        <w:t xml:space="preserve"> </w:t>
      </w:r>
      <w:r>
        <w:rPr>
          <w:spacing w:val="23"/>
        </w:rPr>
        <w:t>，</w:t>
      </w:r>
      <w:r>
        <w:rPr>
          <w:spacing w:val="-52"/>
        </w:rPr>
        <w:t xml:space="preserve"> </w:t>
      </w:r>
      <w:r>
        <w:rPr>
          <w:spacing w:val="23"/>
        </w:rPr>
        <w:t>因此超声波监测</w:t>
      </w:r>
      <w:r>
        <w:rPr>
          <w:spacing w:val="22"/>
        </w:rPr>
        <w:t>时需要</w:t>
      </w:r>
      <w:r>
        <w:rPr/>
        <w:t xml:space="preserve"> </w:t>
      </w:r>
      <w:r>
        <w:rPr>
          <w:spacing w:val="20"/>
        </w:rPr>
        <w:t>传感器紧贴柜体表面。</w:t>
      </w:r>
    </w:p>
    <w:p>
      <w:pPr>
        <w:pStyle w:val="BodyText"/>
        <w:ind w:left="4"/>
        <w:spacing w:before="33" w:line="228" w:lineRule="auto"/>
        <w:outlineLvl w:val="2"/>
        <w:rPr/>
      </w:pPr>
      <w:bookmarkStart w:name="bookmark10" w:id="30"/>
      <w:bookmarkEnd w:id="30"/>
      <w:bookmarkStart w:name="bookmark9" w:id="31"/>
      <w:bookmarkEnd w:id="31"/>
      <w:r>
        <w:rPr>
          <w:b/>
          <w:bCs/>
          <w:spacing w:val="6"/>
        </w:rPr>
        <w:t>2.2.2</w:t>
      </w:r>
      <w:r>
        <w:rPr>
          <w:spacing w:val="-41"/>
        </w:rPr>
        <w:t xml:space="preserve"> </w:t>
      </w:r>
      <w:r>
        <w:rPr>
          <w:b/>
          <w:bCs/>
          <w:spacing w:val="6"/>
        </w:rPr>
        <w:t>地电波（暂态地电压）监测</w:t>
      </w:r>
    </w:p>
    <w:p>
      <w:pPr>
        <w:ind w:firstLine="199"/>
        <w:spacing w:before="171" w:line="2888" w:lineRule="exact"/>
        <w:rPr/>
      </w:pPr>
      <w:r>
        <w:rPr>
          <w:position w:val="-57"/>
        </w:rPr>
        <w:drawing>
          <wp:inline distT="0" distB="0" distL="0" distR="0">
            <wp:extent cx="4725923" cy="1833372"/>
            <wp:effectExtent l="0" t="0" r="0" b="0"/>
            <wp:docPr id="12" name="IM 12"/>
            <wp:cNvGraphicFramePr/>
            <a:graphic>
              <a:graphicData uri="http://schemas.openxmlformats.org/drawingml/2006/picture">
                <pic:pic>
                  <pic:nvPicPr>
                    <pic:cNvPr id="12" name="IM 12"/>
                    <pic:cNvPicPr/>
                  </pic:nvPicPr>
                  <pic:blipFill>
                    <a:blip r:embed="rId11"/>
                    <a:stretch>
                      <a:fillRect/>
                    </a:stretch>
                  </pic:blipFill>
                  <pic:spPr>
                    <a:xfrm rot="0">
                      <a:off x="0" y="0"/>
                      <a:ext cx="4725923" cy="1833372"/>
                    </a:xfrm>
                    <a:prstGeom prst="rect">
                      <a:avLst/>
                    </a:prstGeom>
                  </pic:spPr>
                </pic:pic>
              </a:graphicData>
            </a:graphic>
          </wp:inline>
        </w:drawing>
      </w:r>
    </w:p>
    <w:p>
      <w:pPr>
        <w:pStyle w:val="BodyText"/>
        <w:ind w:left="2333"/>
        <w:spacing w:before="30" w:line="228" w:lineRule="auto"/>
        <w:rPr/>
      </w:pPr>
      <w:r>
        <w:rPr>
          <w:spacing w:val="4"/>
        </w:rPr>
        <w:t>图</w:t>
      </w:r>
      <w:r>
        <w:rPr>
          <w:spacing w:val="-36"/>
        </w:rPr>
        <w:t xml:space="preserve"> </w:t>
      </w:r>
      <w:r>
        <w:rPr>
          <w:spacing w:val="4"/>
        </w:rPr>
        <w:t>3 地电波原理图</w:t>
      </w:r>
    </w:p>
    <w:p>
      <w:pPr>
        <w:pStyle w:val="BodyText"/>
        <w:ind w:left="2" w:firstLine="421"/>
        <w:spacing w:before="162" w:line="426" w:lineRule="auto"/>
        <w:jc w:val="both"/>
        <w:rPr/>
      </w:pPr>
      <w:r>
        <w:rPr>
          <w:spacing w:val="10"/>
        </w:rPr>
        <w:t>局部放电发生时，受肌肤效应作用，局部放电信号会在金属柜体表面传播，在金属断开或</w:t>
      </w:r>
      <w:r>
        <w:rPr>
          <w:spacing w:val="15"/>
        </w:rPr>
        <w:t xml:space="preserve"> </w:t>
      </w:r>
      <w:r>
        <w:rPr>
          <w:spacing w:val="8"/>
        </w:rPr>
        <w:t>绝缘连接处，</w:t>
      </w:r>
      <w:r>
        <w:rPr>
          <w:spacing w:val="-47"/>
        </w:rPr>
        <w:t xml:space="preserve"> </w:t>
      </w:r>
      <w:r>
        <w:rPr>
          <w:spacing w:val="8"/>
        </w:rPr>
        <w:t>电流波转移至外表面；</w:t>
      </w:r>
      <w:r>
        <w:rPr>
          <w:spacing w:val="-54"/>
        </w:rPr>
        <w:t xml:space="preserve"> </w:t>
      </w:r>
      <w:r>
        <w:rPr>
          <w:spacing w:val="8"/>
        </w:rPr>
        <w:t>电磁波上升沿碰到金属外表面，产生暂态对地电压，频率</w:t>
      </w:r>
      <w:r>
        <w:rPr/>
        <w:t xml:space="preserve"> </w:t>
      </w:r>
      <w:r>
        <w:rPr>
          <w:spacing w:val="4"/>
        </w:rPr>
        <w:t>一般在</w:t>
      </w:r>
      <w:r>
        <w:rPr>
          <w:spacing w:val="-32"/>
        </w:rPr>
        <w:t xml:space="preserve"> </w:t>
      </w:r>
      <w:r>
        <w:rPr>
          <w:spacing w:val="4"/>
        </w:rPr>
        <w:t>3~100</w:t>
      </w:r>
      <w:r>
        <w:rPr/>
        <w:t>MHz</w:t>
      </w:r>
      <w:r>
        <w:rPr>
          <w:spacing w:val="-36"/>
        </w:rPr>
        <w:t xml:space="preserve"> </w:t>
      </w:r>
      <w:r>
        <w:rPr>
          <w:spacing w:val="4"/>
        </w:rPr>
        <w:t>之间，地电波幅值与放电量和传播途径的衰减程度有关，要取决于放电点</w:t>
      </w:r>
      <w:r>
        <w:rPr>
          <w:spacing w:val="3"/>
        </w:rPr>
        <w:t>位置、</w:t>
      </w:r>
      <w:r>
        <w:rPr/>
        <w:t xml:space="preserve"> </w:t>
      </w:r>
      <w:r>
        <w:rPr>
          <w:spacing w:val="15"/>
        </w:rPr>
        <w:t>设备的内部结构，采用电容型地电波传感器对地电波进行感应测量，通过分析超声波的幅值</w:t>
      </w:r>
      <w:r>
        <w:rPr>
          <w:spacing w:val="6"/>
        </w:rPr>
        <w:t xml:space="preserve">  </w:t>
      </w:r>
      <w:r>
        <w:rPr>
          <w:spacing w:val="17"/>
        </w:rPr>
        <w:t>和波形来实现监测局部放电的</w:t>
      </w:r>
      <w:r>
        <w:rPr>
          <w:spacing w:val="-32"/>
        </w:rPr>
        <w:t xml:space="preserve"> </w:t>
      </w:r>
      <w:r>
        <w:rPr>
          <w:spacing w:val="17"/>
        </w:rPr>
        <w:t>目</w:t>
      </w:r>
      <w:r>
        <w:rPr>
          <w:spacing w:val="-58"/>
        </w:rPr>
        <w:t xml:space="preserve"> </w:t>
      </w:r>
      <w:r>
        <w:rPr>
          <w:spacing w:val="17"/>
        </w:rPr>
        <w:t>的。</w:t>
      </w:r>
    </w:p>
    <w:p>
      <w:pPr>
        <w:spacing w:line="426" w:lineRule="auto"/>
        <w:sectPr>
          <w:footerReference w:type="default" r:id="rId9"/>
          <w:pgSz w:w="11906" w:h="16839"/>
          <w:pgMar w:top="400" w:right="1563" w:bottom="1376" w:left="1638" w:header="0" w:footer="1212" w:gutter="0"/>
        </w:sectPr>
        <w:rPr/>
      </w:pPr>
    </w:p>
    <w:p>
      <w:pPr>
        <w:spacing w:line="293" w:lineRule="auto"/>
        <w:rPr>
          <w:rFonts w:ascii="Arial"/>
          <w:sz w:val="21"/>
        </w:rPr>
      </w:pPr>
      <w:r/>
    </w:p>
    <w:p>
      <w:pPr>
        <w:spacing w:line="293" w:lineRule="auto"/>
        <w:rPr>
          <w:rFonts w:ascii="Arial"/>
          <w:sz w:val="21"/>
        </w:rPr>
      </w:pPr>
      <w:r/>
    </w:p>
    <w:p>
      <w:pPr>
        <w:spacing w:line="294" w:lineRule="auto"/>
        <w:rPr>
          <w:rFonts w:ascii="Arial"/>
          <w:sz w:val="21"/>
        </w:rPr>
      </w:pPr>
      <w:r/>
    </w:p>
    <w:p>
      <w:pPr>
        <w:spacing w:line="294" w:lineRule="auto"/>
        <w:rPr>
          <w:rFonts w:ascii="Arial"/>
          <w:sz w:val="21"/>
        </w:rPr>
      </w:pPr>
      <w:r/>
    </w:p>
    <w:p>
      <w:pPr>
        <w:ind w:firstLine="1822"/>
        <w:spacing w:line="3444" w:lineRule="exact"/>
        <w:rPr/>
      </w:pPr>
      <w:r>
        <w:rPr>
          <w:position w:val="-68"/>
        </w:rPr>
        <w:drawing>
          <wp:inline distT="0" distB="0" distL="0" distR="0">
            <wp:extent cx="3425952" cy="2186940"/>
            <wp:effectExtent l="0" t="0" r="0" b="0"/>
            <wp:docPr id="14" name="IM 14"/>
            <wp:cNvGraphicFramePr/>
            <a:graphic>
              <a:graphicData uri="http://schemas.openxmlformats.org/drawingml/2006/picture">
                <pic:pic>
                  <pic:nvPicPr>
                    <pic:cNvPr id="14" name="IM 14"/>
                    <pic:cNvPicPr/>
                  </pic:nvPicPr>
                  <pic:blipFill>
                    <a:blip r:embed="rId13"/>
                    <a:stretch>
                      <a:fillRect/>
                    </a:stretch>
                  </pic:blipFill>
                  <pic:spPr>
                    <a:xfrm rot="0">
                      <a:off x="0" y="0"/>
                      <a:ext cx="3425952" cy="2186940"/>
                    </a:xfrm>
                    <a:prstGeom prst="rect">
                      <a:avLst/>
                    </a:prstGeom>
                  </pic:spPr>
                </pic:pic>
              </a:graphicData>
            </a:graphic>
          </wp:inline>
        </w:drawing>
      </w:r>
    </w:p>
    <w:p>
      <w:pPr>
        <w:spacing w:line="343" w:lineRule="auto"/>
        <w:rPr>
          <w:rFonts w:ascii="Arial"/>
          <w:sz w:val="21"/>
        </w:rPr>
      </w:pPr>
      <w:r/>
    </w:p>
    <w:p>
      <w:pPr>
        <w:spacing w:line="343" w:lineRule="auto"/>
        <w:rPr>
          <w:rFonts w:ascii="Arial"/>
          <w:sz w:val="21"/>
        </w:rPr>
      </w:pPr>
      <w:r/>
    </w:p>
    <w:p>
      <w:pPr>
        <w:pStyle w:val="BodyText"/>
        <w:ind w:left="3590"/>
        <w:spacing w:before="65" w:line="228" w:lineRule="auto"/>
        <w:rPr/>
      </w:pPr>
      <w:r>
        <w:rPr>
          <w:spacing w:val="4"/>
        </w:rPr>
        <w:t>图</w:t>
      </w:r>
      <w:r>
        <w:rPr>
          <w:spacing w:val="-36"/>
        </w:rPr>
        <w:t xml:space="preserve"> </w:t>
      </w:r>
      <w:r>
        <w:rPr>
          <w:spacing w:val="4"/>
        </w:rPr>
        <w:t>4 地电波波形图</w:t>
      </w:r>
    </w:p>
    <w:p>
      <w:pPr>
        <w:pStyle w:val="BodyText"/>
        <w:ind w:left="1"/>
        <w:spacing w:before="220" w:line="228" w:lineRule="auto"/>
        <w:outlineLvl w:val="2"/>
        <w:rPr/>
      </w:pPr>
      <w:bookmarkStart w:name="bookmark12" w:id="32"/>
      <w:bookmarkEnd w:id="32"/>
      <w:bookmarkStart w:name="bookmark11" w:id="33"/>
      <w:bookmarkEnd w:id="33"/>
      <w:r>
        <w:rPr>
          <w:b/>
          <w:bCs/>
          <w:spacing w:val="5"/>
        </w:rPr>
        <w:t>2.2.3</w:t>
      </w:r>
      <w:r>
        <w:rPr>
          <w:spacing w:val="5"/>
        </w:rPr>
        <w:t xml:space="preserve"> </w:t>
      </w:r>
      <w:r>
        <w:rPr>
          <w:b/>
          <w:bCs/>
          <w:spacing w:val="5"/>
        </w:rPr>
        <w:t>特高频监测(选配)</w:t>
      </w:r>
    </w:p>
    <w:p>
      <w:pPr>
        <w:pStyle w:val="BodyText"/>
        <w:ind w:firstLine="444"/>
        <w:spacing w:before="221" w:line="426" w:lineRule="auto"/>
        <w:jc w:val="both"/>
        <w:rPr/>
      </w:pPr>
      <w:r>
        <w:rPr>
          <w:spacing w:val="10"/>
        </w:rPr>
        <w:t>由于电力设备的绝缘体绝缘强度很高，因此其具有很高的击穿场强。因</w:t>
      </w:r>
      <w:r>
        <w:rPr>
          <w:spacing w:val="9"/>
        </w:rPr>
        <w:t>此当电力设备的绝</w:t>
      </w:r>
      <w:r>
        <w:rPr/>
        <w:t xml:space="preserve"> </w:t>
      </w:r>
      <w:r>
        <w:rPr>
          <w:spacing w:val="9"/>
        </w:rPr>
        <w:t>缘体发生局部放电时，它的击穿过程是十分迅速的，而且将会产生上升时间小于</w:t>
      </w:r>
      <w:r>
        <w:rPr>
          <w:spacing w:val="-10"/>
        </w:rPr>
        <w:t xml:space="preserve"> </w:t>
      </w:r>
      <w:r>
        <w:rPr>
          <w:spacing w:val="9"/>
        </w:rPr>
        <w:t>1</w:t>
      </w:r>
      <w:r>
        <w:rPr/>
        <w:t>ns</w:t>
      </w:r>
      <w:r>
        <w:rPr>
          <w:spacing w:val="-23"/>
        </w:rPr>
        <w:t xml:space="preserve"> </w:t>
      </w:r>
      <w:r>
        <w:rPr>
          <w:spacing w:val="9"/>
        </w:rPr>
        <w:t>的脉冲电</w:t>
      </w:r>
      <w:r>
        <w:rPr/>
        <w:t xml:space="preserve"> </w:t>
      </w:r>
      <w:r>
        <w:rPr>
          <w:spacing w:val="8"/>
        </w:rPr>
        <w:t>流，同时能够激发出电磁波，且该电磁波的频率为</w:t>
      </w:r>
      <w:r>
        <w:rPr>
          <w:spacing w:val="-36"/>
        </w:rPr>
        <w:t xml:space="preserve"> </w:t>
      </w:r>
      <w:r>
        <w:rPr/>
        <w:t>GHz</w:t>
      </w:r>
      <w:r>
        <w:rPr>
          <w:spacing w:val="-39"/>
        </w:rPr>
        <w:t xml:space="preserve"> </w:t>
      </w:r>
      <w:r>
        <w:rPr>
          <w:spacing w:val="8"/>
        </w:rPr>
        <w:t>数量级，这就是特高频（</w:t>
      </w:r>
      <w:r>
        <w:rPr/>
        <w:t>UHF</w:t>
      </w:r>
      <w:r>
        <w:rPr>
          <w:spacing w:val="8"/>
        </w:rPr>
        <w:t>）</w:t>
      </w:r>
      <w:r>
        <w:rPr>
          <w:spacing w:val="-60"/>
        </w:rPr>
        <w:t xml:space="preserve"> </w:t>
      </w:r>
      <w:r>
        <w:rPr>
          <w:spacing w:val="8"/>
        </w:rPr>
        <w:t>电磁波。</w:t>
      </w:r>
      <w:r>
        <w:rPr/>
        <w:t xml:space="preserve"> </w:t>
      </w:r>
      <w:r>
        <w:rPr>
          <w:spacing w:val="11"/>
        </w:rPr>
        <w:t>局部放电产生的特高频电磁波的频率大概在</w:t>
      </w:r>
      <w:r>
        <w:rPr>
          <w:spacing w:val="-33"/>
        </w:rPr>
        <w:t xml:space="preserve"> </w:t>
      </w:r>
      <w:r>
        <w:rPr>
          <w:spacing w:val="11"/>
        </w:rPr>
        <w:t>300</w:t>
      </w:r>
      <w:r>
        <w:rPr/>
        <w:t>MHz</w:t>
      </w:r>
      <w:r>
        <w:rPr>
          <w:spacing w:val="-32"/>
        </w:rPr>
        <w:t xml:space="preserve"> </w:t>
      </w:r>
      <w:r>
        <w:rPr>
          <w:spacing w:val="11"/>
        </w:rPr>
        <w:t>到</w:t>
      </w:r>
      <w:r>
        <w:rPr>
          <w:spacing w:val="-32"/>
        </w:rPr>
        <w:t xml:space="preserve"> </w:t>
      </w:r>
      <w:r>
        <w:rPr>
          <w:spacing w:val="11"/>
        </w:rPr>
        <w:t>3</w:t>
      </w:r>
      <w:r>
        <w:rPr/>
        <w:t>GHz</w:t>
      </w:r>
      <w:r>
        <w:rPr>
          <w:spacing w:val="11"/>
        </w:rPr>
        <w:t>之间。特高频检测法的基本原</w:t>
      </w:r>
      <w:r>
        <w:rPr>
          <w:spacing w:val="10"/>
        </w:rPr>
        <w:t>理就</w:t>
      </w:r>
      <w:r>
        <w:rPr/>
        <w:t xml:space="preserve"> </w:t>
      </w:r>
      <w:r>
        <w:rPr>
          <w:spacing w:val="9"/>
        </w:rPr>
        <w:t>是通过使用特高频传感器来对电力设备中局部放电时产生的特高频电磁波信号进行检测。</w:t>
      </w:r>
    </w:p>
    <w:p>
      <w:pPr>
        <w:pStyle w:val="BodyText"/>
        <w:ind w:left="3"/>
        <w:spacing w:before="76" w:line="220" w:lineRule="auto"/>
        <w:outlineLvl w:val="1"/>
        <w:rPr>
          <w:sz w:val="28"/>
          <w:szCs w:val="28"/>
        </w:rPr>
      </w:pPr>
      <w:bookmarkStart w:name="bookmark14" w:id="34"/>
      <w:bookmarkEnd w:id="34"/>
      <w:bookmarkStart w:name="bookmark13" w:id="35"/>
      <w:bookmarkEnd w:id="35"/>
      <w:r>
        <w:rPr>
          <w:rFonts w:ascii="Calibri" w:hAnsi="Calibri" w:eastAsia="Calibri" w:cs="Calibri"/>
          <w:sz w:val="28"/>
          <w:szCs w:val="28"/>
          <w:b/>
          <w:bCs/>
          <w:spacing w:val="-5"/>
        </w:rPr>
        <w:t>2.3</w:t>
      </w:r>
      <w:r>
        <w:rPr>
          <w:rFonts w:ascii="Calibri" w:hAnsi="Calibri" w:eastAsia="Calibri" w:cs="Calibri"/>
          <w:sz w:val="28"/>
          <w:szCs w:val="28"/>
          <w:b/>
          <w:bCs/>
          <w:spacing w:val="21"/>
        </w:rPr>
        <w:t xml:space="preserve"> </w:t>
      </w:r>
      <w:r>
        <w:rPr>
          <w:sz w:val="28"/>
          <w:szCs w:val="28"/>
          <w:b/>
          <w:bCs/>
          <w:spacing w:val="-5"/>
        </w:rPr>
        <w:t>产品功能</w:t>
      </w:r>
    </w:p>
    <w:p>
      <w:pPr>
        <w:pStyle w:val="BodyText"/>
        <w:ind w:left="17"/>
        <w:spacing w:before="246" w:line="228" w:lineRule="auto"/>
        <w:rPr/>
      </w:pPr>
      <w:r>
        <w:rPr>
          <w:spacing w:val="5"/>
        </w:rPr>
        <w:t>※</w:t>
      </w:r>
      <w:r>
        <w:rPr>
          <w:b/>
          <w:bCs/>
          <w:spacing w:val="5"/>
        </w:rPr>
        <w:t>实时数据监测</w:t>
      </w:r>
    </w:p>
    <w:p>
      <w:pPr>
        <w:pStyle w:val="BodyText"/>
        <w:ind w:right="42" w:firstLine="421"/>
        <w:spacing w:before="188" w:line="393" w:lineRule="auto"/>
        <w:rPr/>
      </w:pPr>
      <w:r>
        <w:rPr>
          <w:spacing w:val="10"/>
        </w:rPr>
        <w:t>终端支持超声波（</w:t>
      </w:r>
      <w:r>
        <w:rPr>
          <w:rFonts w:ascii="Calibri" w:hAnsi="Calibri" w:eastAsia="Calibri" w:cs="Calibri"/>
        </w:rPr>
        <w:t>AA</w:t>
      </w:r>
      <w:r>
        <w:rPr>
          <w:rFonts w:ascii="Calibri" w:hAnsi="Calibri" w:eastAsia="Calibri" w:cs="Calibri"/>
          <w:spacing w:val="10"/>
        </w:rPr>
        <w:t>/</w:t>
      </w:r>
      <w:r>
        <w:rPr>
          <w:rFonts w:ascii="Calibri" w:hAnsi="Calibri" w:eastAsia="Calibri" w:cs="Calibri"/>
        </w:rPr>
        <w:t>AE</w:t>
      </w:r>
      <w:r>
        <w:rPr>
          <w:rFonts w:ascii="Calibri" w:hAnsi="Calibri" w:eastAsia="Calibri" w:cs="Calibri"/>
          <w:spacing w:val="10"/>
        </w:rPr>
        <w:t>)</w:t>
      </w:r>
      <w:r>
        <w:rPr>
          <w:rFonts w:ascii="Calibri" w:hAnsi="Calibri" w:eastAsia="Calibri" w:cs="Calibri"/>
          <w:spacing w:val="-21"/>
        </w:rPr>
        <w:t xml:space="preserve"> </w:t>
      </w:r>
      <w:r>
        <w:rPr>
          <w:spacing w:val="10"/>
        </w:rPr>
        <w:t>、地电波（</w:t>
      </w:r>
      <w:r>
        <w:rPr>
          <w:rFonts w:ascii="Calibri" w:hAnsi="Calibri" w:eastAsia="Calibri" w:cs="Calibri"/>
        </w:rPr>
        <w:t>TEV</w:t>
      </w:r>
      <w:r>
        <w:rPr>
          <w:spacing w:val="10"/>
        </w:rPr>
        <w:t>）、特高频（</w:t>
      </w:r>
      <w:r>
        <w:rPr>
          <w:rFonts w:ascii="Calibri" w:hAnsi="Calibri" w:eastAsia="Calibri" w:cs="Calibri"/>
        </w:rPr>
        <w:t>UHF</w:t>
      </w:r>
      <w:r>
        <w:rPr>
          <w:spacing w:val="10"/>
        </w:rPr>
        <w:t>）、温湿度和噪声</w:t>
      </w:r>
      <w:r>
        <w:rPr>
          <w:spacing w:val="9"/>
        </w:rPr>
        <w:t>等多种监测技</w:t>
      </w:r>
      <w:r>
        <w:rPr/>
        <w:t xml:space="preserve"> </w:t>
      </w:r>
      <w:r>
        <w:rPr>
          <w:spacing w:val="9"/>
        </w:rPr>
        <w:t>术，多技术相互配合，对开关柜的状态监测更加全面。</w:t>
      </w:r>
    </w:p>
    <w:p>
      <w:pPr>
        <w:pStyle w:val="BodyText"/>
        <w:ind w:left="17"/>
        <w:spacing w:before="117" w:line="228" w:lineRule="auto"/>
        <w:rPr/>
      </w:pPr>
      <w:r>
        <w:rPr>
          <w:spacing w:val="5"/>
        </w:rPr>
        <w:t>※</w:t>
      </w:r>
      <w:r>
        <w:rPr>
          <w:b/>
          <w:bCs/>
          <w:spacing w:val="5"/>
        </w:rPr>
        <w:t>自动报警功能</w:t>
      </w:r>
    </w:p>
    <w:p>
      <w:pPr>
        <w:pStyle w:val="BodyText"/>
        <w:ind w:left="2" w:right="42" w:firstLine="429"/>
        <w:spacing w:before="222" w:line="417" w:lineRule="auto"/>
        <w:rPr/>
      </w:pPr>
      <w:r>
        <w:rPr>
          <w:spacing w:val="10"/>
        </w:rPr>
        <w:t>当监测到异常数据和大幅度变化时，系统会报警信息及时提醒运维人员，提前预防潜在的</w:t>
      </w:r>
      <w:r>
        <w:rPr>
          <w:spacing w:val="5"/>
        </w:rPr>
        <w:t xml:space="preserve"> </w:t>
      </w:r>
      <w:r>
        <w:rPr>
          <w:spacing w:val="5"/>
        </w:rPr>
        <w:t>设备故障。</w:t>
      </w:r>
    </w:p>
    <w:p>
      <w:pPr>
        <w:pStyle w:val="BodyText"/>
        <w:ind w:left="17"/>
        <w:spacing w:before="32" w:line="229" w:lineRule="auto"/>
        <w:rPr/>
      </w:pPr>
      <w:r>
        <w:rPr>
          <w:spacing w:val="5"/>
        </w:rPr>
        <w:t>※</w:t>
      </w:r>
      <w:r>
        <w:rPr>
          <w:b/>
          <w:bCs/>
          <w:spacing w:val="5"/>
        </w:rPr>
        <w:t>系统拓展功能</w:t>
      </w:r>
    </w:p>
    <w:p>
      <w:pPr>
        <w:pStyle w:val="BodyText"/>
        <w:ind w:right="42" w:firstLine="420"/>
        <w:spacing w:before="219" w:line="417" w:lineRule="auto"/>
        <w:rPr/>
      </w:pPr>
      <w:r>
        <w:rPr>
          <w:spacing w:val="10"/>
        </w:rPr>
        <w:t>可以根据现场实际情况需求，灵活增加局放监测终端。新增终端不影响已配置的终端，终</w:t>
      </w:r>
      <w:r>
        <w:rPr>
          <w:spacing w:val="16"/>
        </w:rPr>
        <w:t xml:space="preserve"> </w:t>
      </w:r>
      <w:r>
        <w:rPr>
          <w:spacing w:val="7"/>
        </w:rPr>
        <w:t>端组网更加简单便捷。</w:t>
      </w:r>
    </w:p>
    <w:p>
      <w:pPr>
        <w:spacing w:line="417" w:lineRule="auto"/>
        <w:sectPr>
          <w:footerReference w:type="default" r:id="rId12"/>
          <w:pgSz w:w="11906" w:h="16839"/>
          <w:pgMar w:top="400" w:right="1594" w:bottom="1378" w:left="1640" w:header="0" w:footer="1212" w:gutter="0"/>
        </w:sectPr>
        <w:rPr/>
      </w:pP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BodyText"/>
        <w:spacing w:before="91" w:line="220" w:lineRule="auto"/>
        <w:outlineLvl w:val="1"/>
        <w:rPr>
          <w:sz w:val="28"/>
          <w:szCs w:val="28"/>
        </w:rPr>
      </w:pPr>
      <w:bookmarkStart w:name="bookmark16" w:id="36"/>
      <w:bookmarkEnd w:id="36"/>
      <w:bookmarkStart w:name="bookmark15" w:id="37"/>
      <w:bookmarkEnd w:id="37"/>
      <w:r>
        <w:rPr>
          <w:rFonts w:ascii="Calibri" w:hAnsi="Calibri" w:eastAsia="Calibri" w:cs="Calibri"/>
          <w:sz w:val="28"/>
          <w:szCs w:val="28"/>
          <w:b/>
          <w:bCs/>
          <w:spacing w:val="-5"/>
        </w:rPr>
        <w:t>2.4</w:t>
      </w:r>
      <w:r>
        <w:rPr>
          <w:rFonts w:ascii="Calibri" w:hAnsi="Calibri" w:eastAsia="Calibri" w:cs="Calibri"/>
          <w:sz w:val="28"/>
          <w:szCs w:val="28"/>
          <w:b/>
          <w:bCs/>
          <w:spacing w:val="21"/>
        </w:rPr>
        <w:t xml:space="preserve"> </w:t>
      </w:r>
      <w:r>
        <w:rPr>
          <w:sz w:val="28"/>
          <w:szCs w:val="28"/>
          <w:b/>
          <w:bCs/>
          <w:spacing w:val="-5"/>
        </w:rPr>
        <w:t>产品参数</w:t>
      </w:r>
    </w:p>
    <w:p>
      <w:pPr>
        <w:spacing w:line="117" w:lineRule="exact"/>
        <w:rPr/>
      </w:pPr>
      <w:r/>
    </w:p>
    <w:tbl>
      <w:tblPr>
        <w:tblStyle w:val="TableNormal"/>
        <w:tblW w:w="6633" w:type="dxa"/>
        <w:tblInd w:w="99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27"/>
        <w:gridCol w:w="2116"/>
        <w:gridCol w:w="2890"/>
      </w:tblGrid>
      <w:tr>
        <w:trPr>
          <w:trHeight w:val="477" w:hRule="atLeast"/>
        </w:trPr>
        <w:tc>
          <w:tcPr>
            <w:tcW w:w="3743" w:type="dxa"/>
            <w:vAlign w:val="top"/>
            <w:gridSpan w:val="2"/>
          </w:tcPr>
          <w:p>
            <w:pPr>
              <w:pStyle w:val="TableText"/>
              <w:ind w:left="1670"/>
              <w:spacing w:before="133" w:line="230" w:lineRule="auto"/>
              <w:rPr/>
            </w:pPr>
            <w:r>
              <w:rPr>
                <w:spacing w:val="3"/>
              </w:rPr>
              <w:t>名称</w:t>
            </w:r>
          </w:p>
        </w:tc>
        <w:tc>
          <w:tcPr>
            <w:tcW w:w="2890" w:type="dxa"/>
            <w:vAlign w:val="top"/>
          </w:tcPr>
          <w:p>
            <w:pPr>
              <w:pStyle w:val="TableText"/>
              <w:ind w:left="1031"/>
              <w:spacing w:before="132" w:line="228" w:lineRule="auto"/>
              <w:rPr/>
            </w:pPr>
            <w:r>
              <w:rPr>
                <w:spacing w:val="7"/>
              </w:rPr>
              <w:t>技术参数</w:t>
            </w:r>
          </w:p>
        </w:tc>
      </w:tr>
      <w:tr>
        <w:trPr>
          <w:trHeight w:val="473" w:hRule="atLeast"/>
        </w:trPr>
        <w:tc>
          <w:tcPr>
            <w:tcW w:w="1627" w:type="dxa"/>
            <w:vAlign w:val="top"/>
            <w:vMerge w:val="restart"/>
            <w:tcBorders>
              <w:bottom w:val="nil"/>
            </w:tcBorders>
          </w:tcPr>
          <w:p>
            <w:pPr>
              <w:spacing w:line="302" w:lineRule="auto"/>
              <w:rPr>
                <w:rFonts w:ascii="Arial"/>
                <w:sz w:val="21"/>
              </w:rPr>
            </w:pPr>
            <w:r/>
          </w:p>
          <w:p>
            <w:pPr>
              <w:pStyle w:val="TableText"/>
              <w:ind w:left="503"/>
              <w:spacing w:before="65" w:line="228" w:lineRule="auto"/>
              <w:rPr/>
            </w:pPr>
            <w:r>
              <w:rPr>
                <w:spacing w:val="7"/>
              </w:rPr>
              <w:t>超声波</w:t>
            </w:r>
          </w:p>
        </w:tc>
        <w:tc>
          <w:tcPr>
            <w:tcW w:w="2116" w:type="dxa"/>
            <w:vAlign w:val="top"/>
          </w:tcPr>
          <w:p>
            <w:pPr>
              <w:pStyle w:val="TableText"/>
              <w:ind w:left="643"/>
              <w:spacing w:before="130" w:line="228" w:lineRule="auto"/>
              <w:rPr/>
            </w:pPr>
            <w:r>
              <w:rPr>
                <w:spacing w:val="7"/>
              </w:rPr>
              <w:t>检测频带</w:t>
            </w:r>
          </w:p>
        </w:tc>
        <w:tc>
          <w:tcPr>
            <w:tcW w:w="2890" w:type="dxa"/>
            <w:vAlign w:val="top"/>
          </w:tcPr>
          <w:p>
            <w:pPr>
              <w:pStyle w:val="TableText"/>
              <w:ind w:left="977"/>
              <w:spacing w:before="131" w:line="264" w:lineRule="exact"/>
              <w:rPr/>
            </w:pPr>
            <w:r>
              <w:rPr>
                <w:spacing w:val="7"/>
                <w:position w:val="1"/>
              </w:rPr>
              <w:t>40M±1</w:t>
            </w:r>
            <w:r>
              <w:rPr>
                <w:position w:val="1"/>
              </w:rPr>
              <w:t>kHz</w:t>
            </w:r>
          </w:p>
        </w:tc>
      </w:tr>
      <w:tr>
        <w:trPr>
          <w:trHeight w:val="473" w:hRule="atLeast"/>
        </w:trPr>
        <w:tc>
          <w:tcPr>
            <w:tcW w:w="1627" w:type="dxa"/>
            <w:vAlign w:val="top"/>
            <w:vMerge w:val="continue"/>
            <w:tcBorders>
              <w:top w:val="nil"/>
            </w:tcBorders>
          </w:tcPr>
          <w:p>
            <w:pPr>
              <w:rPr>
                <w:rFonts w:ascii="Arial"/>
                <w:sz w:val="21"/>
              </w:rPr>
            </w:pPr>
            <w:r/>
          </w:p>
        </w:tc>
        <w:tc>
          <w:tcPr>
            <w:tcW w:w="2116" w:type="dxa"/>
            <w:vAlign w:val="top"/>
          </w:tcPr>
          <w:p>
            <w:pPr>
              <w:pStyle w:val="TableText"/>
              <w:ind w:left="434"/>
              <w:spacing w:before="130" w:line="228" w:lineRule="auto"/>
              <w:rPr/>
            </w:pPr>
            <w:r>
              <w:rPr>
                <w:spacing w:val="8"/>
              </w:rPr>
              <w:t>检测动态范围</w:t>
            </w:r>
          </w:p>
        </w:tc>
        <w:tc>
          <w:tcPr>
            <w:tcW w:w="2890" w:type="dxa"/>
            <w:vAlign w:val="top"/>
          </w:tcPr>
          <w:p>
            <w:pPr>
              <w:pStyle w:val="TableText"/>
              <w:ind w:left="1032"/>
              <w:spacing w:before="130" w:line="269" w:lineRule="exact"/>
              <w:rPr/>
            </w:pPr>
            <w:r>
              <w:rPr>
                <w:spacing w:val="7"/>
              </w:rPr>
              <w:t>0~70</w:t>
            </w:r>
            <w:r>
              <w:rPr/>
              <w:t>dBuV</w:t>
            </w:r>
          </w:p>
        </w:tc>
      </w:tr>
      <w:tr>
        <w:trPr>
          <w:trHeight w:val="472" w:hRule="atLeast"/>
        </w:trPr>
        <w:tc>
          <w:tcPr>
            <w:tcW w:w="1627" w:type="dxa"/>
            <w:vAlign w:val="top"/>
            <w:vMerge w:val="restart"/>
            <w:tcBorders>
              <w:bottom w:val="nil"/>
            </w:tcBorders>
          </w:tcPr>
          <w:p>
            <w:pPr>
              <w:spacing w:line="338" w:lineRule="auto"/>
              <w:rPr>
                <w:rFonts w:ascii="Arial"/>
                <w:sz w:val="21"/>
              </w:rPr>
            </w:pPr>
            <w:r/>
          </w:p>
          <w:p>
            <w:pPr>
              <w:pStyle w:val="TableText"/>
              <w:ind w:left="660"/>
              <w:spacing w:before="65" w:line="187" w:lineRule="auto"/>
              <w:rPr/>
            </w:pPr>
            <w:r>
              <w:rPr>
                <w:spacing w:val="2"/>
              </w:rPr>
              <w:t>TEV</w:t>
            </w:r>
          </w:p>
        </w:tc>
        <w:tc>
          <w:tcPr>
            <w:tcW w:w="2116" w:type="dxa"/>
            <w:vAlign w:val="top"/>
          </w:tcPr>
          <w:p>
            <w:pPr>
              <w:pStyle w:val="TableText"/>
              <w:ind w:left="643"/>
              <w:spacing w:before="130" w:line="228" w:lineRule="auto"/>
              <w:rPr/>
            </w:pPr>
            <w:r>
              <w:rPr>
                <w:spacing w:val="7"/>
              </w:rPr>
              <w:t>检测带宽</w:t>
            </w:r>
          </w:p>
        </w:tc>
        <w:tc>
          <w:tcPr>
            <w:tcW w:w="2890" w:type="dxa"/>
            <w:vAlign w:val="top"/>
          </w:tcPr>
          <w:p>
            <w:pPr>
              <w:pStyle w:val="TableText"/>
              <w:ind w:left="1035"/>
              <w:spacing w:before="130" w:line="268" w:lineRule="exact"/>
              <w:rPr/>
            </w:pPr>
            <w:r>
              <w:rPr>
                <w:spacing w:val="5"/>
              </w:rPr>
              <w:t>3~100</w:t>
            </w:r>
            <w:r>
              <w:rPr/>
              <w:t>MHz</w:t>
            </w:r>
          </w:p>
        </w:tc>
      </w:tr>
      <w:tr>
        <w:trPr>
          <w:trHeight w:val="473" w:hRule="atLeast"/>
        </w:trPr>
        <w:tc>
          <w:tcPr>
            <w:tcW w:w="1627" w:type="dxa"/>
            <w:vAlign w:val="top"/>
            <w:vMerge w:val="continue"/>
            <w:tcBorders>
              <w:top w:val="nil"/>
            </w:tcBorders>
          </w:tcPr>
          <w:p>
            <w:pPr>
              <w:rPr>
                <w:rFonts w:ascii="Arial"/>
                <w:sz w:val="21"/>
              </w:rPr>
            </w:pPr>
            <w:r/>
          </w:p>
        </w:tc>
        <w:tc>
          <w:tcPr>
            <w:tcW w:w="2116" w:type="dxa"/>
            <w:vAlign w:val="top"/>
          </w:tcPr>
          <w:p>
            <w:pPr>
              <w:pStyle w:val="TableText"/>
              <w:ind w:left="434"/>
              <w:spacing w:before="130" w:line="228" w:lineRule="auto"/>
              <w:rPr/>
            </w:pPr>
            <w:r>
              <w:rPr>
                <w:spacing w:val="8"/>
              </w:rPr>
              <w:t>检测动态范围</w:t>
            </w:r>
          </w:p>
        </w:tc>
        <w:tc>
          <w:tcPr>
            <w:tcW w:w="2890" w:type="dxa"/>
            <w:vAlign w:val="top"/>
          </w:tcPr>
          <w:p>
            <w:pPr>
              <w:pStyle w:val="TableText"/>
              <w:ind w:left="1032"/>
              <w:spacing w:before="131" w:line="268" w:lineRule="exact"/>
              <w:rPr/>
            </w:pPr>
            <w:r>
              <w:rPr>
                <w:spacing w:val="7"/>
              </w:rPr>
              <w:t>0~60</w:t>
            </w:r>
            <w:r>
              <w:rPr/>
              <w:t>dBmV</w:t>
            </w:r>
          </w:p>
        </w:tc>
      </w:tr>
      <w:tr>
        <w:trPr>
          <w:trHeight w:val="473" w:hRule="atLeast"/>
        </w:trPr>
        <w:tc>
          <w:tcPr>
            <w:tcW w:w="1627" w:type="dxa"/>
            <w:vAlign w:val="top"/>
            <w:vMerge w:val="restart"/>
            <w:tcBorders>
              <w:bottom w:val="nil"/>
            </w:tcBorders>
          </w:tcPr>
          <w:p>
            <w:pPr>
              <w:spacing w:line="304" w:lineRule="auto"/>
              <w:rPr>
                <w:rFonts w:ascii="Arial"/>
                <w:sz w:val="21"/>
              </w:rPr>
            </w:pPr>
            <w:r/>
          </w:p>
          <w:p>
            <w:pPr>
              <w:pStyle w:val="TableText"/>
              <w:ind w:left="237"/>
              <w:spacing w:before="65" w:line="231" w:lineRule="auto"/>
              <w:rPr/>
            </w:pPr>
            <w:r>
              <w:rPr/>
              <w:t>UHF</w:t>
            </w:r>
            <w:r>
              <w:rPr>
                <w:spacing w:val="9"/>
              </w:rPr>
              <w:t>（选配）</w:t>
            </w:r>
          </w:p>
        </w:tc>
        <w:tc>
          <w:tcPr>
            <w:tcW w:w="2116" w:type="dxa"/>
            <w:vAlign w:val="top"/>
          </w:tcPr>
          <w:p>
            <w:pPr>
              <w:pStyle w:val="TableText"/>
              <w:ind w:left="643"/>
              <w:spacing w:before="130" w:line="228" w:lineRule="auto"/>
              <w:rPr/>
            </w:pPr>
            <w:r>
              <w:rPr>
                <w:spacing w:val="7"/>
              </w:rPr>
              <w:t>检测带宽</w:t>
            </w:r>
          </w:p>
        </w:tc>
        <w:tc>
          <w:tcPr>
            <w:tcW w:w="2890" w:type="dxa"/>
            <w:vAlign w:val="top"/>
          </w:tcPr>
          <w:p>
            <w:pPr>
              <w:pStyle w:val="TableText"/>
              <w:ind w:left="876"/>
              <w:spacing w:before="130" w:line="269" w:lineRule="exact"/>
              <w:rPr/>
            </w:pPr>
            <w:r>
              <w:rPr>
                <w:spacing w:val="5"/>
              </w:rPr>
              <w:t>300~1500</w:t>
            </w:r>
            <w:r>
              <w:rPr/>
              <w:t>MHz</w:t>
            </w:r>
          </w:p>
        </w:tc>
      </w:tr>
      <w:tr>
        <w:trPr>
          <w:trHeight w:val="473" w:hRule="atLeast"/>
        </w:trPr>
        <w:tc>
          <w:tcPr>
            <w:tcW w:w="1627" w:type="dxa"/>
            <w:vAlign w:val="top"/>
            <w:vMerge w:val="continue"/>
            <w:tcBorders>
              <w:top w:val="nil"/>
            </w:tcBorders>
          </w:tcPr>
          <w:p>
            <w:pPr>
              <w:rPr>
                <w:rFonts w:ascii="Arial"/>
                <w:sz w:val="21"/>
              </w:rPr>
            </w:pPr>
            <w:r/>
          </w:p>
        </w:tc>
        <w:tc>
          <w:tcPr>
            <w:tcW w:w="2116" w:type="dxa"/>
            <w:vAlign w:val="top"/>
          </w:tcPr>
          <w:p>
            <w:pPr>
              <w:pStyle w:val="TableText"/>
              <w:ind w:left="434"/>
              <w:spacing w:before="129" w:line="228" w:lineRule="auto"/>
              <w:rPr/>
            </w:pPr>
            <w:r>
              <w:rPr>
                <w:spacing w:val="8"/>
              </w:rPr>
              <w:t>检测动态范围</w:t>
            </w:r>
          </w:p>
        </w:tc>
        <w:tc>
          <w:tcPr>
            <w:tcW w:w="2890" w:type="dxa"/>
            <w:vAlign w:val="top"/>
          </w:tcPr>
          <w:p>
            <w:pPr>
              <w:pStyle w:val="TableText"/>
              <w:ind w:left="976"/>
              <w:spacing w:before="130" w:line="268" w:lineRule="exact"/>
              <w:rPr/>
            </w:pPr>
            <w:r>
              <w:rPr>
                <w:spacing w:val="6"/>
              </w:rPr>
              <w:t>-70~10</w:t>
            </w:r>
            <w:r>
              <w:rPr/>
              <w:t>dBm</w:t>
            </w:r>
          </w:p>
        </w:tc>
      </w:tr>
      <w:tr>
        <w:trPr>
          <w:trHeight w:val="473" w:hRule="atLeast"/>
        </w:trPr>
        <w:tc>
          <w:tcPr>
            <w:tcW w:w="3743" w:type="dxa"/>
            <w:vAlign w:val="top"/>
            <w:gridSpan w:val="2"/>
          </w:tcPr>
          <w:p>
            <w:pPr>
              <w:pStyle w:val="TableText"/>
              <w:ind w:left="1247"/>
              <w:spacing w:before="131" w:line="228" w:lineRule="auto"/>
              <w:rPr/>
            </w:pPr>
            <w:r>
              <w:rPr>
                <w:spacing w:val="8"/>
              </w:rPr>
              <w:t>平均等效高度</w:t>
            </w:r>
          </w:p>
        </w:tc>
        <w:tc>
          <w:tcPr>
            <w:tcW w:w="2890" w:type="dxa"/>
            <w:vAlign w:val="top"/>
          </w:tcPr>
          <w:p>
            <w:pPr>
              <w:pStyle w:val="TableText"/>
              <w:ind w:left="1154"/>
              <w:spacing w:before="132" w:line="266" w:lineRule="exact"/>
              <w:rPr/>
            </w:pPr>
            <w:r>
              <w:rPr>
                <w:position w:val="1"/>
              </w:rPr>
              <w:t>≥10mm</w:t>
            </w:r>
          </w:p>
        </w:tc>
      </w:tr>
      <w:tr>
        <w:trPr>
          <w:trHeight w:val="472" w:hRule="atLeast"/>
        </w:trPr>
        <w:tc>
          <w:tcPr>
            <w:tcW w:w="3743" w:type="dxa"/>
            <w:vAlign w:val="top"/>
            <w:gridSpan w:val="2"/>
          </w:tcPr>
          <w:p>
            <w:pPr>
              <w:pStyle w:val="TableText"/>
              <w:ind w:left="1258"/>
              <w:spacing w:before="131" w:line="228" w:lineRule="auto"/>
              <w:rPr/>
            </w:pPr>
            <w:r>
              <w:rPr>
                <w:spacing w:val="6"/>
              </w:rPr>
              <w:t>噪声检测范围</w:t>
            </w:r>
          </w:p>
        </w:tc>
        <w:tc>
          <w:tcPr>
            <w:tcW w:w="2890" w:type="dxa"/>
            <w:vAlign w:val="top"/>
          </w:tcPr>
          <w:p>
            <w:pPr>
              <w:pStyle w:val="TableText"/>
              <w:ind w:left="1035"/>
              <w:spacing w:before="131" w:line="269" w:lineRule="exact"/>
              <w:rPr/>
            </w:pPr>
            <w:r>
              <w:rPr>
                <w:spacing w:val="4"/>
              </w:rPr>
              <w:t>30~130</w:t>
            </w:r>
            <w:r>
              <w:rPr/>
              <w:t>dB</w:t>
            </w:r>
          </w:p>
        </w:tc>
      </w:tr>
      <w:tr>
        <w:trPr>
          <w:trHeight w:val="472" w:hRule="atLeast"/>
        </w:trPr>
        <w:tc>
          <w:tcPr>
            <w:tcW w:w="3743" w:type="dxa"/>
            <w:vAlign w:val="top"/>
            <w:gridSpan w:val="2"/>
          </w:tcPr>
          <w:p>
            <w:pPr>
              <w:pStyle w:val="TableText"/>
              <w:ind w:left="1250"/>
              <w:spacing w:before="132" w:line="228" w:lineRule="auto"/>
              <w:rPr/>
            </w:pPr>
            <w:r>
              <w:rPr>
                <w:spacing w:val="7"/>
              </w:rPr>
              <w:t>温度检测范围</w:t>
            </w:r>
          </w:p>
        </w:tc>
        <w:tc>
          <w:tcPr>
            <w:tcW w:w="2890" w:type="dxa"/>
            <w:vAlign w:val="top"/>
          </w:tcPr>
          <w:p>
            <w:pPr>
              <w:pStyle w:val="TableText"/>
              <w:ind w:left="1029"/>
              <w:spacing w:before="132" w:line="266" w:lineRule="exact"/>
              <w:rPr/>
            </w:pPr>
            <w:r>
              <w:rPr>
                <w:spacing w:val="4"/>
              </w:rPr>
              <w:t>-40~85℃</w:t>
            </w:r>
          </w:p>
        </w:tc>
      </w:tr>
      <w:tr>
        <w:trPr>
          <w:trHeight w:val="473" w:hRule="atLeast"/>
        </w:trPr>
        <w:tc>
          <w:tcPr>
            <w:tcW w:w="3743" w:type="dxa"/>
            <w:vAlign w:val="top"/>
            <w:gridSpan w:val="2"/>
          </w:tcPr>
          <w:p>
            <w:pPr>
              <w:pStyle w:val="TableText"/>
              <w:ind w:left="1248"/>
              <w:spacing w:before="132" w:line="228" w:lineRule="auto"/>
              <w:rPr/>
            </w:pPr>
            <w:r>
              <w:rPr>
                <w:spacing w:val="8"/>
              </w:rPr>
              <w:t>湿度检测范围</w:t>
            </w:r>
          </w:p>
        </w:tc>
        <w:tc>
          <w:tcPr>
            <w:tcW w:w="2890" w:type="dxa"/>
            <w:vAlign w:val="top"/>
          </w:tcPr>
          <w:p>
            <w:pPr>
              <w:pStyle w:val="TableText"/>
              <w:ind w:left="1087"/>
              <w:spacing w:before="133" w:line="268" w:lineRule="exact"/>
              <w:rPr/>
            </w:pPr>
            <w:r>
              <w:rPr>
                <w:spacing w:val="4"/>
              </w:rPr>
              <w:t>5~95%</w:t>
            </w:r>
            <w:r>
              <w:rPr/>
              <w:t>RH</w:t>
            </w:r>
          </w:p>
        </w:tc>
      </w:tr>
      <w:tr>
        <w:trPr>
          <w:trHeight w:val="473" w:hRule="atLeast"/>
        </w:trPr>
        <w:tc>
          <w:tcPr>
            <w:tcW w:w="3743" w:type="dxa"/>
            <w:vAlign w:val="top"/>
            <w:gridSpan w:val="2"/>
          </w:tcPr>
          <w:p>
            <w:pPr>
              <w:pStyle w:val="TableText"/>
              <w:ind w:left="1459"/>
              <w:spacing w:before="132" w:line="227" w:lineRule="auto"/>
              <w:rPr/>
            </w:pPr>
            <w:r>
              <w:rPr>
                <w:spacing w:val="7"/>
              </w:rPr>
              <w:t>供电方式</w:t>
            </w:r>
          </w:p>
        </w:tc>
        <w:tc>
          <w:tcPr>
            <w:tcW w:w="2890" w:type="dxa"/>
            <w:vAlign w:val="top"/>
          </w:tcPr>
          <w:p>
            <w:pPr>
              <w:pStyle w:val="TableText"/>
              <w:ind w:left="1133"/>
              <w:spacing w:before="133" w:line="233" w:lineRule="auto"/>
              <w:rPr/>
            </w:pPr>
            <w:r>
              <w:rPr>
                <w:spacing w:val="7"/>
              </w:rPr>
              <w:t>锂电池</w:t>
            </w:r>
          </w:p>
        </w:tc>
      </w:tr>
      <w:tr>
        <w:trPr>
          <w:trHeight w:val="473" w:hRule="atLeast"/>
        </w:trPr>
        <w:tc>
          <w:tcPr>
            <w:tcW w:w="3743" w:type="dxa"/>
            <w:vAlign w:val="top"/>
            <w:gridSpan w:val="2"/>
          </w:tcPr>
          <w:p>
            <w:pPr>
              <w:pStyle w:val="TableText"/>
              <w:ind w:left="1272"/>
              <w:spacing w:before="131" w:line="228" w:lineRule="auto"/>
              <w:rPr/>
            </w:pPr>
            <w:r>
              <w:rPr>
                <w:spacing w:val="4"/>
              </w:rPr>
              <w:t>电池使用寿命</w:t>
            </w:r>
          </w:p>
        </w:tc>
        <w:tc>
          <w:tcPr>
            <w:tcW w:w="2890" w:type="dxa"/>
            <w:vAlign w:val="top"/>
          </w:tcPr>
          <w:p>
            <w:pPr>
              <w:pStyle w:val="TableText"/>
              <w:ind w:left="1270"/>
              <w:spacing w:before="131" w:line="228" w:lineRule="auto"/>
              <w:rPr/>
            </w:pPr>
            <w:r>
              <w:rPr>
                <w:spacing w:val="-4"/>
              </w:rPr>
              <w:t>3</w:t>
            </w:r>
            <w:r>
              <w:rPr>
                <w:spacing w:val="-40"/>
              </w:rPr>
              <w:t xml:space="preserve"> </w:t>
            </w:r>
            <w:r>
              <w:rPr>
                <w:spacing w:val="-4"/>
              </w:rPr>
              <w:t>年</w:t>
            </w:r>
          </w:p>
        </w:tc>
      </w:tr>
      <w:tr>
        <w:trPr>
          <w:trHeight w:val="473" w:hRule="atLeast"/>
        </w:trPr>
        <w:tc>
          <w:tcPr>
            <w:tcW w:w="3743" w:type="dxa"/>
            <w:vAlign w:val="top"/>
            <w:gridSpan w:val="2"/>
          </w:tcPr>
          <w:p>
            <w:pPr>
              <w:pStyle w:val="TableText"/>
              <w:ind w:left="1250"/>
              <w:spacing w:before="134" w:line="227" w:lineRule="auto"/>
              <w:rPr/>
            </w:pPr>
            <w:r>
              <w:rPr>
                <w:spacing w:val="7"/>
              </w:rPr>
              <w:t>无线传输频段</w:t>
            </w:r>
          </w:p>
        </w:tc>
        <w:tc>
          <w:tcPr>
            <w:tcW w:w="2890" w:type="dxa"/>
            <w:vAlign w:val="top"/>
          </w:tcPr>
          <w:p>
            <w:pPr>
              <w:pStyle w:val="TableText"/>
              <w:ind w:left="1133"/>
              <w:spacing w:before="134" w:line="268" w:lineRule="exact"/>
              <w:rPr/>
            </w:pPr>
            <w:r>
              <w:rPr>
                <w:spacing w:val="7"/>
                <w:position w:val="1"/>
              </w:rPr>
              <w:t>433</w:t>
            </w:r>
            <w:r>
              <w:rPr>
                <w:position w:val="1"/>
              </w:rPr>
              <w:t>MHz</w:t>
            </w:r>
          </w:p>
        </w:tc>
      </w:tr>
      <w:tr>
        <w:trPr>
          <w:trHeight w:val="473" w:hRule="atLeast"/>
        </w:trPr>
        <w:tc>
          <w:tcPr>
            <w:tcW w:w="3743" w:type="dxa"/>
            <w:vAlign w:val="top"/>
            <w:gridSpan w:val="2"/>
          </w:tcPr>
          <w:p>
            <w:pPr>
              <w:pStyle w:val="TableText"/>
              <w:ind w:left="1250"/>
              <w:spacing w:before="133" w:line="227" w:lineRule="auto"/>
              <w:rPr/>
            </w:pPr>
            <w:r>
              <w:rPr>
                <w:spacing w:val="7"/>
              </w:rPr>
              <w:t>最大传输距离</w:t>
            </w:r>
          </w:p>
        </w:tc>
        <w:tc>
          <w:tcPr>
            <w:tcW w:w="2890" w:type="dxa"/>
            <w:vAlign w:val="top"/>
          </w:tcPr>
          <w:p>
            <w:pPr>
              <w:pStyle w:val="TableText"/>
              <w:ind w:left="493"/>
              <w:spacing w:before="133" w:line="228" w:lineRule="auto"/>
              <w:rPr/>
            </w:pPr>
            <w:r>
              <w:rPr>
                <w:spacing w:val="4"/>
              </w:rPr>
              <w:t>≤50</w:t>
            </w:r>
            <w:r>
              <w:rPr>
                <w:spacing w:val="-34"/>
              </w:rPr>
              <w:t xml:space="preserve"> </w:t>
            </w:r>
            <w:r>
              <w:rPr>
                <w:spacing w:val="4"/>
              </w:rPr>
              <w:t>米（可视距离）</w:t>
            </w:r>
          </w:p>
        </w:tc>
      </w:tr>
      <w:tr>
        <w:trPr>
          <w:trHeight w:val="473" w:hRule="atLeast"/>
        </w:trPr>
        <w:tc>
          <w:tcPr>
            <w:tcW w:w="3743" w:type="dxa"/>
            <w:vAlign w:val="top"/>
            <w:gridSpan w:val="2"/>
          </w:tcPr>
          <w:p>
            <w:pPr>
              <w:pStyle w:val="TableText"/>
              <w:ind w:left="1667"/>
              <w:spacing w:before="133" w:line="227" w:lineRule="auto"/>
              <w:rPr/>
            </w:pPr>
            <w:r>
              <w:rPr>
                <w:spacing w:val="5"/>
              </w:rPr>
              <w:t>尺寸</w:t>
            </w:r>
          </w:p>
        </w:tc>
        <w:tc>
          <w:tcPr>
            <w:tcW w:w="2890" w:type="dxa"/>
            <w:vAlign w:val="top"/>
          </w:tcPr>
          <w:p>
            <w:pPr>
              <w:pStyle w:val="TableText"/>
              <w:ind w:left="782"/>
              <w:spacing w:before="133" w:line="268" w:lineRule="exact"/>
              <w:rPr/>
            </w:pPr>
            <w:r>
              <w:rPr>
                <w:spacing w:val="4"/>
                <w:position w:val="1"/>
              </w:rPr>
              <w:t>152</w:t>
            </w:r>
            <w:r>
              <w:rPr>
                <w:position w:val="1"/>
              </w:rPr>
              <w:t>mm</w:t>
            </w:r>
            <w:r>
              <w:rPr>
                <w:spacing w:val="4"/>
                <w:position w:val="1"/>
              </w:rPr>
              <w:t>*98*49</w:t>
            </w:r>
            <w:r>
              <w:rPr>
                <w:position w:val="1"/>
              </w:rPr>
              <w:t>mm</w:t>
            </w:r>
          </w:p>
        </w:tc>
      </w:tr>
      <w:tr>
        <w:trPr>
          <w:trHeight w:val="472" w:hRule="atLeast"/>
        </w:trPr>
        <w:tc>
          <w:tcPr>
            <w:tcW w:w="3743" w:type="dxa"/>
            <w:vAlign w:val="top"/>
            <w:gridSpan w:val="2"/>
          </w:tcPr>
          <w:p>
            <w:pPr>
              <w:pStyle w:val="TableText"/>
              <w:ind w:left="1462"/>
              <w:spacing w:before="133" w:line="228" w:lineRule="auto"/>
              <w:rPr/>
            </w:pPr>
            <w:r>
              <w:rPr>
                <w:spacing w:val="6"/>
              </w:rPr>
              <w:t>工作温度</w:t>
            </w:r>
          </w:p>
        </w:tc>
        <w:tc>
          <w:tcPr>
            <w:tcW w:w="2890" w:type="dxa"/>
            <w:vAlign w:val="top"/>
          </w:tcPr>
          <w:p>
            <w:pPr>
              <w:pStyle w:val="TableText"/>
              <w:ind w:left="1029"/>
              <w:spacing w:before="133" w:line="266" w:lineRule="exact"/>
              <w:rPr/>
            </w:pPr>
            <w:r>
              <w:rPr>
                <w:spacing w:val="4"/>
              </w:rPr>
              <w:t>-30~70℃</w:t>
            </w:r>
          </w:p>
        </w:tc>
      </w:tr>
      <w:tr>
        <w:trPr>
          <w:trHeight w:val="473" w:hRule="atLeast"/>
        </w:trPr>
        <w:tc>
          <w:tcPr>
            <w:tcW w:w="3743" w:type="dxa"/>
            <w:vAlign w:val="top"/>
            <w:gridSpan w:val="2"/>
          </w:tcPr>
          <w:p>
            <w:pPr>
              <w:pStyle w:val="TableText"/>
              <w:ind w:left="1458"/>
              <w:spacing w:before="133" w:line="227" w:lineRule="auto"/>
              <w:rPr/>
            </w:pPr>
            <w:r>
              <w:rPr>
                <w:spacing w:val="7"/>
              </w:rPr>
              <w:t>采样周期</w:t>
            </w:r>
          </w:p>
        </w:tc>
        <w:tc>
          <w:tcPr>
            <w:tcW w:w="2890" w:type="dxa"/>
            <w:vAlign w:val="top"/>
          </w:tcPr>
          <w:p>
            <w:pPr>
              <w:pStyle w:val="TableText"/>
              <w:ind w:left="743"/>
              <w:spacing w:before="133" w:line="227" w:lineRule="auto"/>
              <w:rPr/>
            </w:pPr>
            <w:r>
              <w:rPr>
                <w:spacing w:val="4"/>
              </w:rPr>
              <w:t>2</w:t>
            </w:r>
            <w:r>
              <w:rPr>
                <w:spacing w:val="-33"/>
              </w:rPr>
              <w:t xml:space="preserve"> </w:t>
            </w:r>
            <w:r>
              <w:rPr>
                <w:spacing w:val="4"/>
              </w:rPr>
              <w:t>小时（默认）</w:t>
            </w:r>
          </w:p>
        </w:tc>
      </w:tr>
      <w:tr>
        <w:trPr>
          <w:trHeight w:val="473" w:hRule="atLeast"/>
        </w:trPr>
        <w:tc>
          <w:tcPr>
            <w:tcW w:w="3743" w:type="dxa"/>
            <w:vAlign w:val="top"/>
            <w:gridSpan w:val="2"/>
          </w:tcPr>
          <w:p>
            <w:pPr>
              <w:pStyle w:val="TableText"/>
              <w:ind w:left="1354"/>
              <w:spacing w:before="133" w:line="227" w:lineRule="auto"/>
              <w:rPr/>
            </w:pPr>
            <w:r>
              <w:rPr>
                <w:spacing w:val="7"/>
              </w:rPr>
              <w:t>开关机方式</w:t>
            </w:r>
          </w:p>
        </w:tc>
        <w:tc>
          <w:tcPr>
            <w:tcW w:w="2890" w:type="dxa"/>
            <w:vAlign w:val="top"/>
          </w:tcPr>
          <w:p>
            <w:pPr>
              <w:pStyle w:val="TableText"/>
              <w:ind w:left="1030"/>
              <w:spacing w:before="132" w:line="228" w:lineRule="auto"/>
              <w:rPr/>
            </w:pPr>
            <w:r>
              <w:rPr>
                <w:spacing w:val="7"/>
              </w:rPr>
              <w:t>物理按键</w:t>
            </w:r>
          </w:p>
        </w:tc>
      </w:tr>
      <w:tr>
        <w:trPr>
          <w:trHeight w:val="477" w:hRule="atLeast"/>
        </w:trPr>
        <w:tc>
          <w:tcPr>
            <w:tcW w:w="3743" w:type="dxa"/>
            <w:vAlign w:val="top"/>
            <w:gridSpan w:val="2"/>
          </w:tcPr>
          <w:p>
            <w:pPr>
              <w:pStyle w:val="TableText"/>
              <w:ind w:left="1461"/>
              <w:spacing w:before="135" w:line="229" w:lineRule="auto"/>
              <w:rPr/>
            </w:pPr>
            <w:r>
              <w:rPr>
                <w:spacing w:val="6"/>
              </w:rPr>
              <w:t>上送方式</w:t>
            </w:r>
          </w:p>
        </w:tc>
        <w:tc>
          <w:tcPr>
            <w:tcW w:w="2890" w:type="dxa"/>
            <w:vAlign w:val="top"/>
          </w:tcPr>
          <w:p>
            <w:pPr>
              <w:pStyle w:val="TableText"/>
              <w:ind w:left="611"/>
              <w:spacing w:before="134" w:line="228" w:lineRule="auto"/>
              <w:rPr/>
            </w:pPr>
            <w:r>
              <w:rPr>
                <w:spacing w:val="8"/>
              </w:rPr>
              <w:t>支持单次主动上送</w:t>
            </w:r>
          </w:p>
        </w:tc>
      </w:tr>
    </w:tbl>
    <w:p>
      <w:pPr>
        <w:rPr>
          <w:rFonts w:ascii="Arial"/>
          <w:sz w:val="21"/>
        </w:rPr>
      </w:pPr>
      <w:r/>
    </w:p>
    <w:p>
      <w:pPr>
        <w:sectPr>
          <w:footerReference w:type="default" r:id="rId14"/>
          <w:pgSz w:w="11906" w:h="16839"/>
          <w:pgMar w:top="400" w:right="1785" w:bottom="1376" w:left="1644" w:header="0" w:footer="1212" w:gutter="0"/>
        </w:sectPr>
        <w:rPr>
          <w:rFonts w:ascii="Arial" w:hAnsi="Arial" w:eastAsia="Arial" w:cs="Arial"/>
          <w:sz w:val="21"/>
          <w:szCs w:val="21"/>
        </w:rPr>
      </w:pP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12"/>
        <w:spacing w:before="101" w:line="225" w:lineRule="auto"/>
        <w:outlineLvl w:val="0"/>
        <w:rPr>
          <w:sz w:val="31"/>
          <w:szCs w:val="31"/>
        </w:rPr>
      </w:pPr>
      <w:bookmarkStart w:name="bookmark18" w:id="38"/>
      <w:bookmarkEnd w:id="38"/>
      <w:bookmarkStart w:name="bookmark17" w:id="39"/>
      <w:bookmarkEnd w:id="39"/>
      <w:r>
        <w:rPr>
          <w:sz w:val="31"/>
          <w:szCs w:val="31"/>
          <w:b/>
          <w:bCs/>
          <w:spacing w:val="6"/>
        </w:rPr>
        <w:t>三、安装示意图</w:t>
      </w:r>
    </w:p>
    <w:p>
      <w:pPr>
        <w:spacing w:before="220" w:line="4404" w:lineRule="exact"/>
        <w:rPr/>
      </w:pPr>
      <w:r>
        <w:rPr>
          <w:position w:val="-88"/>
        </w:rPr>
        <w:drawing>
          <wp:inline distT="0" distB="0" distL="0" distR="0">
            <wp:extent cx="5704332" cy="2796540"/>
            <wp:effectExtent l="0" t="0" r="0" b="0"/>
            <wp:docPr id="16" name="IM 16"/>
            <wp:cNvGraphicFramePr/>
            <a:graphic>
              <a:graphicData uri="http://schemas.openxmlformats.org/drawingml/2006/picture">
                <pic:pic>
                  <pic:nvPicPr>
                    <pic:cNvPr id="16" name="IM 16"/>
                    <pic:cNvPicPr/>
                  </pic:nvPicPr>
                  <pic:blipFill>
                    <a:blip r:embed="rId16"/>
                    <a:stretch>
                      <a:fillRect/>
                    </a:stretch>
                  </pic:blipFill>
                  <pic:spPr>
                    <a:xfrm rot="0">
                      <a:off x="0" y="0"/>
                      <a:ext cx="5704332" cy="2796540"/>
                    </a:xfrm>
                    <a:prstGeom prst="rect">
                      <a:avLst/>
                    </a:prstGeom>
                  </pic:spPr>
                </pic:pic>
              </a:graphicData>
            </a:graphic>
          </wp:inline>
        </w:drawing>
      </w:r>
    </w:p>
    <w:p>
      <w:pPr>
        <w:spacing w:line="336" w:lineRule="auto"/>
        <w:rPr>
          <w:rFonts w:ascii="Arial"/>
          <w:sz w:val="21"/>
        </w:rPr>
      </w:pPr>
      <w:r/>
    </w:p>
    <w:p>
      <w:pPr>
        <w:spacing w:line="337" w:lineRule="auto"/>
        <w:rPr>
          <w:rFonts w:ascii="Arial"/>
          <w:sz w:val="21"/>
        </w:rPr>
      </w:pPr>
      <w:r/>
    </w:p>
    <w:p>
      <w:pPr>
        <w:pStyle w:val="BodyText"/>
        <w:ind w:left="10"/>
        <w:spacing w:before="65" w:line="229" w:lineRule="auto"/>
        <w:rPr/>
      </w:pPr>
      <w:r>
        <w:rPr>
          <w:b/>
          <w:bCs/>
          <w:spacing w:val="1"/>
        </w:rPr>
        <w:t>备注：</w:t>
      </w:r>
    </w:p>
    <w:p>
      <w:pPr>
        <w:pStyle w:val="BodyText"/>
        <w:ind w:left="26"/>
        <w:spacing w:before="219" w:line="227" w:lineRule="auto"/>
        <w:rPr/>
      </w:pPr>
      <w:r>
        <w:rPr>
          <w:b/>
          <w:bCs/>
          <w:spacing w:val="7"/>
        </w:rPr>
        <w:t>※局放传感器直接吸附在开关柜的电缆室外门</w:t>
      </w:r>
      <w:r>
        <w:rPr>
          <w:b/>
          <w:bCs/>
          <w:spacing w:val="6"/>
        </w:rPr>
        <w:t>板。</w:t>
      </w:r>
    </w:p>
    <w:p>
      <w:pPr>
        <w:pStyle w:val="BodyText"/>
        <w:ind w:left="26"/>
        <w:spacing w:before="222" w:line="227" w:lineRule="auto"/>
        <w:rPr/>
      </w:pPr>
      <w:r>
        <w:rPr>
          <w:b/>
          <w:bCs/>
          <w:spacing w:val="7"/>
        </w:rPr>
        <w:t>※超声波传感器需正对开关柜缝隙有效监测超声波。</w:t>
      </w:r>
    </w:p>
    <w:p>
      <w:pPr>
        <w:spacing w:line="227" w:lineRule="auto"/>
        <w:sectPr>
          <w:footerReference w:type="default" r:id="rId15"/>
          <w:pgSz w:w="11906" w:h="16839"/>
          <w:pgMar w:top="400" w:right="1290" w:bottom="1378" w:left="1631" w:header="0" w:footer="1212" w:gutter="0"/>
        </w:sectPr>
        <w:rPr/>
      </w:pP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57"/>
        <w:spacing w:before="101" w:line="225" w:lineRule="auto"/>
        <w:outlineLvl w:val="0"/>
        <w:rPr>
          <w:sz w:val="31"/>
          <w:szCs w:val="31"/>
        </w:rPr>
      </w:pPr>
      <w:bookmarkStart w:name="bookmark20" w:id="40"/>
      <w:bookmarkEnd w:id="40"/>
      <w:bookmarkStart w:name="bookmark19" w:id="41"/>
      <w:bookmarkEnd w:id="41"/>
      <w:r>
        <w:rPr>
          <w:sz w:val="31"/>
          <w:szCs w:val="31"/>
          <w:b/>
          <w:bCs/>
        </w:rPr>
        <w:t>四、结构设计</w: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firstLine="5279"/>
        <w:spacing w:line="6250" w:lineRule="exact"/>
        <w:rPr/>
      </w:pPr>
      <w:r>
        <w:drawing>
          <wp:anchor distT="0" distB="0" distL="0" distR="0" simplePos="0" relativeHeight="251668480" behindDoc="0" locked="0" layoutInCell="1" allowOverlap="1">
            <wp:simplePos x="0" y="0"/>
            <wp:positionH relativeFrom="column">
              <wp:posOffset>457054</wp:posOffset>
            </wp:positionH>
            <wp:positionV relativeFrom="paragraph">
              <wp:posOffset>273206</wp:posOffset>
            </wp:positionV>
            <wp:extent cx="1978381" cy="3199332"/>
            <wp:effectExtent l="0" t="0" r="0" b="0"/>
            <wp:wrapNone/>
            <wp:docPr id="18" name="IM 18"/>
            <wp:cNvGraphicFramePr/>
            <a:graphic>
              <a:graphicData uri="http://schemas.openxmlformats.org/drawingml/2006/picture">
                <pic:pic>
                  <pic:nvPicPr>
                    <pic:cNvPr id="18" name="IM 18"/>
                    <pic:cNvPicPr/>
                  </pic:nvPicPr>
                  <pic:blipFill>
                    <a:blip r:embed="rId18"/>
                    <a:stretch>
                      <a:fillRect/>
                    </a:stretch>
                  </pic:blipFill>
                  <pic:spPr>
                    <a:xfrm rot="0">
                      <a:off x="0" y="0"/>
                      <a:ext cx="1978381" cy="3199332"/>
                    </a:xfrm>
                    <a:prstGeom prst="rect">
                      <a:avLst/>
                    </a:prstGeom>
                  </pic:spPr>
                </pic:pic>
              </a:graphicData>
            </a:graphic>
          </wp:anchor>
        </w:drawing>
      </w:r>
      <w:r>
        <w:drawing>
          <wp:anchor distT="0" distB="0" distL="0" distR="0" simplePos="0" relativeHeight="251669504" behindDoc="0" locked="0" layoutInCell="1" allowOverlap="1">
            <wp:simplePos x="0" y="0"/>
            <wp:positionH relativeFrom="column">
              <wp:posOffset>0</wp:posOffset>
            </wp:positionH>
            <wp:positionV relativeFrom="paragraph">
              <wp:posOffset>3589605</wp:posOffset>
            </wp:positionV>
            <wp:extent cx="3013732" cy="363913"/>
            <wp:effectExtent l="0" t="0" r="0" b="0"/>
            <wp:wrapNone/>
            <wp:docPr id="20" name="IM 20"/>
            <wp:cNvGraphicFramePr/>
            <a:graphic>
              <a:graphicData uri="http://schemas.openxmlformats.org/drawingml/2006/picture">
                <pic:pic>
                  <pic:nvPicPr>
                    <pic:cNvPr id="20" name="IM 20"/>
                    <pic:cNvPicPr/>
                  </pic:nvPicPr>
                  <pic:blipFill>
                    <a:blip r:embed="rId19"/>
                    <a:stretch>
                      <a:fillRect/>
                    </a:stretch>
                  </pic:blipFill>
                  <pic:spPr>
                    <a:xfrm rot="0">
                      <a:off x="0" y="0"/>
                      <a:ext cx="3013732" cy="363913"/>
                    </a:xfrm>
                    <a:prstGeom prst="rect">
                      <a:avLst/>
                    </a:prstGeom>
                  </pic:spPr>
                </pic:pic>
              </a:graphicData>
            </a:graphic>
          </wp:anchor>
        </w:drawing>
      </w:r>
      <w:r>
        <w:rPr>
          <w:position w:val="-124"/>
        </w:rPr>
        <w:pict>
          <v:group id="_x0000_s2" style="mso-position-vertical-relative:line;mso-position-horizontal-relative:char;width:165.65pt;height:312.5pt;" filled="false" stroked="false" coordsize="3312,6250" coordorigin="0,0">
            <v:shape id="_x0000_s4" style="position:absolute;left:0;top:0;width:3312;height:6250;" filled="false" stroked="false" type="#_x0000_t75">
              <v:imagedata o:title="" r:id="rId20"/>
            </v:shape>
            <v:shape id="_x0000_s6" style="position:absolute;left:-20;top:-20;width:3352;height:6290;" filled="false" stroked="false" type="#_x0000_t202">
              <v:fill on="false"/>
              <v:stroke on="false"/>
              <v:path/>
              <v:imagedata o:title=""/>
              <o:lock v:ext="edit" aspectratio="false"/>
              <v:textbox inset="0mm,0mm,0mm,0mm">
                <w:txbxContent>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306"/>
                      <w:spacing w:before="72" w:line="169" w:lineRule="auto"/>
                      <w:rPr>
                        <w:rFonts w:ascii="Source Han Sans SC Regular" w:hAnsi="Source Han Sans SC Regular" w:eastAsia="Source Han Sans SC Regular" w:cs="Source Han Sans SC Regular"/>
                        <w:sz w:val="16"/>
                        <w:szCs w:val="16"/>
                      </w:rPr>
                    </w:pPr>
                    <w:r>
                      <w:rPr>
                        <w:rFonts w:ascii="Source Han Sans SC Regular" w:hAnsi="Source Han Sans SC Regular" w:eastAsia="Source Han Sans SC Regular" w:cs="Source Han Sans SC Regular"/>
                        <w:sz w:val="16"/>
                        <w:szCs w:val="16"/>
                        <w:spacing w:val="-3"/>
                      </w:rPr>
                      <w:t>120mm</w:t>
                    </w:r>
                  </w:p>
                </w:txbxContent>
              </v:textbox>
            </v:shape>
          </v:group>
        </w:pic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623"/>
        <w:spacing w:line="2717" w:lineRule="exact"/>
        <w:rPr/>
      </w:pPr>
      <w:r>
        <w:rPr>
          <w:position w:val="-54"/>
        </w:rPr>
        <w:pict>
          <v:group id="_x0000_s8" style="mso-position-vertical-relative:line;mso-position-horizontal-relative:char;width:217.35pt;height:135.85pt;" filled="false" stroked="false" coordsize="4347,2717" coordorigin="0,0">
            <v:shape id="_x0000_s10" style="position:absolute;left:0;top:0;width:4347;height:2717;" filled="false" stroked="false" type="#_x0000_t75">
              <v:imagedata o:title="" r:id="rId21"/>
            </v:shape>
            <v:shape id="_x0000_s12" style="position:absolute;left:-20;top:-20;width:4387;height:2757;" filled="false" stroked="false" type="#_x0000_t202">
              <v:fill on="false"/>
              <v:stroke on="false"/>
              <v:path/>
              <v:imagedata o:title=""/>
              <o:lock v:ext="edit" aspectratio="false"/>
              <v:textbox inset="0mm,0mm,0mm,0mm">
                <w:txbxContent>
                  <w:p>
                    <w:pPr>
                      <w:spacing w:line="295" w:lineRule="auto"/>
                      <w:rPr>
                        <w:rFonts w:ascii="Arial"/>
                        <w:sz w:val="21"/>
                      </w:rPr>
                    </w:pPr>
                    <w:r/>
                  </w:p>
                  <w:p>
                    <w:pPr>
                      <w:ind w:left="1493"/>
                      <w:spacing w:before="67" w:line="169" w:lineRule="auto"/>
                      <w:rPr>
                        <w:rFonts w:ascii="Source Han Sans SC Regular" w:hAnsi="Source Han Sans SC Regular" w:eastAsia="Source Han Sans SC Regular" w:cs="Source Han Sans SC Regular"/>
                        <w:sz w:val="15"/>
                        <w:szCs w:val="15"/>
                      </w:rPr>
                    </w:pPr>
                    <w:r>
                      <w:rPr>
                        <w:rFonts w:ascii="Source Han Sans SC Regular" w:hAnsi="Source Han Sans SC Regular" w:eastAsia="Source Han Sans SC Regular" w:cs="Source Han Sans SC Regular"/>
                        <w:sz w:val="15"/>
                        <w:szCs w:val="15"/>
                        <w:spacing w:val="-2"/>
                      </w:rPr>
                      <w:t>90mm</w:t>
                    </w:r>
                  </w:p>
                  <w:p>
                    <w:pPr>
                      <w:spacing w:line="313" w:lineRule="auto"/>
                      <w:rPr>
                        <w:rFonts w:ascii="Arial"/>
                        <w:sz w:val="21"/>
                      </w:rPr>
                    </w:pPr>
                    <w:r/>
                  </w:p>
                  <w:p>
                    <w:pPr>
                      <w:spacing w:line="313" w:lineRule="auto"/>
                      <w:rPr>
                        <w:rFonts w:ascii="Arial"/>
                        <w:sz w:val="21"/>
                      </w:rPr>
                    </w:pPr>
                    <w:r/>
                  </w:p>
                  <w:p>
                    <w:pPr>
                      <w:ind w:left="3112"/>
                      <w:spacing w:before="46" w:line="189" w:lineRule="auto"/>
                      <w:rPr>
                        <w:rFonts w:ascii="Arial" w:hAnsi="Arial" w:eastAsia="Arial" w:cs="Arial"/>
                        <w:sz w:val="16"/>
                        <w:szCs w:val="16"/>
                      </w:rPr>
                    </w:pPr>
                    <w:r>
                      <w:rPr>
                        <w:rFonts w:ascii="Arial" w:hAnsi="Arial" w:eastAsia="Arial" w:cs="Arial"/>
                        <w:sz w:val="16"/>
                        <w:szCs w:val="16"/>
                        <w:spacing w:val="20"/>
                      </w:rPr>
                      <w:t>45</w:t>
                    </w:r>
                    <w:r>
                      <w:rPr>
                        <w:rFonts w:ascii="Arial" w:hAnsi="Arial" w:eastAsia="Arial" w:cs="Arial"/>
                        <w:sz w:val="16"/>
                        <w:szCs w:val="16"/>
                      </w:rPr>
                      <w:t>mm</w:t>
                    </w:r>
                  </w:p>
                </w:txbxContent>
              </v:textbox>
            </v:shape>
          </v:group>
        </w:pict>
      </w:r>
    </w:p>
    <w:p>
      <w:pPr>
        <w:spacing w:line="2717" w:lineRule="exact"/>
        <w:sectPr>
          <w:footerReference w:type="default" r:id="rId17"/>
          <w:pgSz w:w="11906" w:h="16839"/>
          <w:pgMar w:top="400" w:right="1785" w:bottom="1378" w:left="1084" w:header="0" w:footer="1212" w:gutter="0"/>
        </w:sectPr>
        <w:rPr/>
      </w:pP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31"/>
        <w:spacing w:before="101" w:line="224" w:lineRule="auto"/>
        <w:outlineLvl w:val="0"/>
        <w:rPr>
          <w:sz w:val="31"/>
          <w:szCs w:val="31"/>
        </w:rPr>
      </w:pPr>
      <w:bookmarkStart w:name="bookmark22" w:id="42"/>
      <w:bookmarkEnd w:id="42"/>
      <w:bookmarkStart w:name="bookmark21" w:id="43"/>
      <w:bookmarkEnd w:id="43"/>
      <w:r>
        <w:rPr>
          <w:sz w:val="31"/>
          <w:szCs w:val="31"/>
          <w:b/>
          <w:bCs/>
          <w:spacing w:val="6"/>
        </w:rPr>
        <w:t>五、局放传感器使用方法</w:t>
      </w:r>
    </w:p>
    <w:p>
      <w:pPr>
        <w:pStyle w:val="BodyText"/>
        <w:ind w:left="21" w:right="15" w:firstLine="423"/>
        <w:spacing w:before="223" w:line="427" w:lineRule="auto"/>
        <w:jc w:val="both"/>
        <w:rPr/>
      </w:pPr>
      <w:r>
        <w:rPr>
          <w:spacing w:val="7"/>
        </w:rPr>
        <w:t>局放传感器默认为关机状态，长按传感器“</w:t>
      </w:r>
      <w:r>
        <w:rPr>
          <w:rFonts w:ascii="Calibri" w:hAnsi="Calibri" w:eastAsia="Calibri" w:cs="Calibri"/>
        </w:rPr>
        <w:t>ON</w:t>
      </w:r>
      <w:r>
        <w:rPr>
          <w:rFonts w:ascii="Calibri" w:hAnsi="Calibri" w:eastAsia="Calibri" w:cs="Calibri"/>
          <w:spacing w:val="-9"/>
        </w:rPr>
        <w:t xml:space="preserve"> </w:t>
      </w:r>
      <w:r>
        <w:rPr>
          <w:spacing w:val="7"/>
        </w:rPr>
        <w:t>”按键</w:t>
      </w:r>
      <w:r>
        <w:rPr>
          <w:spacing w:val="-41"/>
        </w:rPr>
        <w:t xml:space="preserve"> </w:t>
      </w:r>
      <w:r>
        <w:rPr>
          <w:rFonts w:ascii="Calibri" w:hAnsi="Calibri" w:eastAsia="Calibri" w:cs="Calibri"/>
          <w:spacing w:val="7"/>
        </w:rPr>
        <w:t>4S</w:t>
      </w:r>
      <w:r>
        <w:rPr>
          <w:rFonts w:ascii="Calibri" w:hAnsi="Calibri" w:eastAsia="Calibri" w:cs="Calibri"/>
          <w:spacing w:val="18"/>
        </w:rPr>
        <w:t xml:space="preserve"> </w:t>
      </w:r>
      <w:r>
        <w:rPr>
          <w:spacing w:val="7"/>
        </w:rPr>
        <w:t>可启动局放传感器。装值启动</w:t>
      </w:r>
      <w:r>
        <w:rPr/>
        <w:t xml:space="preserve"> </w:t>
      </w:r>
      <w:r>
        <w:rPr>
          <w:spacing w:val="9"/>
        </w:rPr>
        <w:t>后，运行指示灯点亮。局放传感器会进行</w:t>
      </w:r>
      <w:r>
        <w:rPr>
          <w:spacing w:val="-36"/>
        </w:rPr>
        <w:t xml:space="preserve"> </w:t>
      </w:r>
      <w:r>
        <w:rPr>
          <w:rFonts w:ascii="Calibri" w:hAnsi="Calibri" w:eastAsia="Calibri" w:cs="Calibri"/>
          <w:spacing w:val="9"/>
        </w:rPr>
        <w:t>3S</w:t>
      </w:r>
      <w:r>
        <w:rPr>
          <w:rFonts w:ascii="Calibri" w:hAnsi="Calibri" w:eastAsia="Calibri" w:cs="Calibri"/>
          <w:spacing w:val="33"/>
        </w:rPr>
        <w:t xml:space="preserve"> </w:t>
      </w:r>
      <w:r>
        <w:rPr>
          <w:spacing w:val="9"/>
        </w:rPr>
        <w:t>的数据采集并将本次采集后的局放数据上送至</w:t>
      </w:r>
      <w:r>
        <w:rPr/>
        <w:t xml:space="preserve"> </w:t>
      </w:r>
      <w:r>
        <w:rPr>
          <w:spacing w:val="7"/>
        </w:rPr>
        <w:t>采集终端。再通过采集终端上送至上位机。上送数据后局放传感器进入休眠状态。默认休眠</w:t>
      </w:r>
      <w:r>
        <w:rPr>
          <w:spacing w:val="15"/>
        </w:rPr>
        <w:t xml:space="preserve"> </w:t>
      </w:r>
      <w:r>
        <w:rPr>
          <w:spacing w:val="7"/>
        </w:rPr>
        <w:t>期为</w:t>
      </w:r>
      <w:r>
        <w:rPr>
          <w:spacing w:val="-34"/>
        </w:rPr>
        <w:t xml:space="preserve"> </w:t>
      </w:r>
      <w:r>
        <w:rPr>
          <w:rFonts w:ascii="Calibri" w:hAnsi="Calibri" w:eastAsia="Calibri" w:cs="Calibri"/>
          <w:spacing w:val="7"/>
        </w:rPr>
        <w:t>2</w:t>
      </w:r>
      <w:r>
        <w:rPr>
          <w:rFonts w:ascii="Calibri" w:hAnsi="Calibri" w:eastAsia="Calibri" w:cs="Calibri"/>
          <w:spacing w:val="21"/>
          <w:w w:val="102"/>
        </w:rPr>
        <w:t xml:space="preserve"> </w:t>
      </w:r>
      <w:r>
        <w:rPr>
          <w:spacing w:val="7"/>
        </w:rPr>
        <w:t>小时。</w:t>
      </w:r>
      <w:r>
        <w:rPr>
          <w:rFonts w:ascii="Calibri" w:hAnsi="Calibri" w:eastAsia="Calibri" w:cs="Calibri"/>
          <w:spacing w:val="7"/>
        </w:rPr>
        <w:t>2</w:t>
      </w:r>
      <w:r>
        <w:rPr>
          <w:rFonts w:ascii="Calibri" w:hAnsi="Calibri" w:eastAsia="Calibri" w:cs="Calibri"/>
          <w:spacing w:val="21"/>
        </w:rPr>
        <w:t xml:space="preserve"> </w:t>
      </w:r>
      <w:r>
        <w:rPr>
          <w:spacing w:val="7"/>
        </w:rPr>
        <w:t>小时后装置再次唤醒采集数据。装置电池</w:t>
      </w:r>
      <w:r>
        <w:rPr>
          <w:spacing w:val="6"/>
        </w:rPr>
        <w:t>可支持传感器使用时长为</w:t>
      </w:r>
      <w:r>
        <w:rPr>
          <w:spacing w:val="-37"/>
        </w:rPr>
        <w:t xml:space="preserve"> </w:t>
      </w:r>
      <w:r>
        <w:rPr>
          <w:rFonts w:ascii="Calibri" w:hAnsi="Calibri" w:eastAsia="Calibri" w:cs="Calibri"/>
          <w:spacing w:val="6"/>
        </w:rPr>
        <w:t>3</w:t>
      </w:r>
      <w:r>
        <w:rPr>
          <w:rFonts w:ascii="Calibri" w:hAnsi="Calibri" w:eastAsia="Calibri" w:cs="Calibri"/>
          <w:spacing w:val="19"/>
        </w:rPr>
        <w:t xml:space="preserve"> </w:t>
      </w:r>
      <w:r>
        <w:rPr>
          <w:spacing w:val="6"/>
        </w:rPr>
        <w:t>年。短</w:t>
      </w:r>
      <w:r>
        <w:rPr/>
        <w:t xml:space="preserve"> </w:t>
      </w:r>
      <w:r>
        <w:rPr>
          <w:spacing w:val="8"/>
        </w:rPr>
        <w:t>按“</w:t>
      </w:r>
      <w:r>
        <w:rPr>
          <w:rFonts w:ascii="Calibri" w:hAnsi="Calibri" w:eastAsia="Calibri" w:cs="Calibri"/>
        </w:rPr>
        <w:t>OFF</w:t>
      </w:r>
      <w:r>
        <w:rPr>
          <w:rFonts w:ascii="Calibri" w:hAnsi="Calibri" w:eastAsia="Calibri" w:cs="Calibri"/>
          <w:spacing w:val="-18"/>
        </w:rPr>
        <w:t xml:space="preserve"> </w:t>
      </w:r>
      <w:r>
        <w:rPr>
          <w:spacing w:val="8"/>
        </w:rPr>
        <w:t>”按键可以实时查看电池电量（默认满电量为</w:t>
      </w:r>
      <w:r>
        <w:rPr>
          <w:spacing w:val="-34"/>
        </w:rPr>
        <w:t xml:space="preserve"> </w:t>
      </w:r>
      <w:r>
        <w:rPr>
          <w:rFonts w:ascii="Calibri" w:hAnsi="Calibri" w:eastAsia="Calibri" w:cs="Calibri"/>
          <w:spacing w:val="8"/>
        </w:rPr>
        <w:t>3</w:t>
      </w:r>
      <w:r>
        <w:rPr>
          <w:rFonts w:ascii="Calibri" w:hAnsi="Calibri" w:eastAsia="Calibri" w:cs="Calibri"/>
          <w:spacing w:val="18"/>
        </w:rPr>
        <w:t xml:space="preserve"> </w:t>
      </w:r>
      <w:r>
        <w:rPr>
          <w:spacing w:val="7"/>
        </w:rPr>
        <w:t>格）。当电池电量变位</w:t>
      </w:r>
      <w:r>
        <w:rPr>
          <w:spacing w:val="-30"/>
        </w:rPr>
        <w:t xml:space="preserve"> </w:t>
      </w:r>
      <w:r>
        <w:rPr>
          <w:rFonts w:ascii="Calibri" w:hAnsi="Calibri" w:eastAsia="Calibri" w:cs="Calibri"/>
          <w:spacing w:val="7"/>
        </w:rPr>
        <w:t>1</w:t>
      </w:r>
      <w:r>
        <w:rPr>
          <w:rFonts w:ascii="Calibri" w:hAnsi="Calibri" w:eastAsia="Calibri" w:cs="Calibri"/>
          <w:spacing w:val="16"/>
        </w:rPr>
        <w:t xml:space="preserve"> </w:t>
      </w:r>
      <w:r>
        <w:rPr>
          <w:spacing w:val="7"/>
        </w:rPr>
        <w:t>格，建议</w:t>
      </w:r>
      <w:r>
        <w:rPr/>
        <w:t xml:space="preserve"> </w:t>
      </w:r>
      <w:r>
        <w:rPr>
          <w:spacing w:val="6"/>
        </w:rPr>
        <w:t>更换电池。</w:t>
      </w:r>
    </w:p>
    <w:p>
      <w:pPr>
        <w:pStyle w:val="BodyText"/>
        <w:ind w:left="22" w:right="16" w:firstLine="422"/>
        <w:spacing w:before="31" w:line="417" w:lineRule="auto"/>
        <w:rPr/>
      </w:pPr>
      <w:r>
        <w:rPr>
          <w:spacing w:val="11"/>
        </w:rPr>
        <w:t>局放传感器处于开机状态时，可以通过短按“</w:t>
      </w:r>
      <w:r>
        <w:rPr>
          <w:rFonts w:ascii="Calibri" w:hAnsi="Calibri" w:eastAsia="Calibri" w:cs="Calibri"/>
        </w:rPr>
        <w:t>ON</w:t>
      </w:r>
      <w:r>
        <w:rPr>
          <w:rFonts w:ascii="Calibri" w:hAnsi="Calibri" w:eastAsia="Calibri" w:cs="Calibri"/>
          <w:spacing w:val="-16"/>
        </w:rPr>
        <w:t xml:space="preserve"> </w:t>
      </w:r>
      <w:r>
        <w:rPr>
          <w:spacing w:val="11"/>
        </w:rPr>
        <w:t>”</w:t>
      </w:r>
      <w:r>
        <w:rPr>
          <w:spacing w:val="10"/>
        </w:rPr>
        <w:t>按键来唤醒局放传感器采集实时局</w:t>
      </w:r>
      <w:r>
        <w:rPr/>
        <w:t xml:space="preserve"> </w:t>
      </w:r>
      <w:r>
        <w:rPr>
          <w:spacing w:val="9"/>
        </w:rPr>
        <w:t>放数据。唤醒后运行灯点亮并同时上送实时数据。上送后装置再次休眠。</w:t>
      </w:r>
    </w:p>
    <w:p>
      <w:pPr>
        <w:pStyle w:val="BodyText"/>
        <w:ind w:left="444"/>
        <w:spacing w:before="31" w:line="227" w:lineRule="auto"/>
        <w:rPr/>
      </w:pPr>
      <w:r>
        <w:rPr>
          <w:spacing w:val="6"/>
        </w:rPr>
        <w:t>局放传感器可以通过长按“</w:t>
      </w:r>
      <w:r>
        <w:rPr>
          <w:rFonts w:ascii="Calibri" w:hAnsi="Calibri" w:eastAsia="Calibri" w:cs="Calibri"/>
        </w:rPr>
        <w:t>OFF</w:t>
      </w:r>
      <w:r>
        <w:rPr>
          <w:rFonts w:ascii="Calibri" w:hAnsi="Calibri" w:eastAsia="Calibri" w:cs="Calibri"/>
          <w:spacing w:val="-1"/>
        </w:rPr>
        <w:t xml:space="preserve"> </w:t>
      </w:r>
      <w:r>
        <w:rPr>
          <w:spacing w:val="6"/>
        </w:rPr>
        <w:t>”按键</w:t>
      </w:r>
      <w:r>
        <w:rPr>
          <w:spacing w:val="-43"/>
        </w:rPr>
        <w:t xml:space="preserve"> </w:t>
      </w:r>
      <w:r>
        <w:rPr>
          <w:rFonts w:ascii="Calibri" w:hAnsi="Calibri" w:eastAsia="Calibri" w:cs="Calibri"/>
          <w:spacing w:val="6"/>
        </w:rPr>
        <w:t>4S</w:t>
      </w:r>
      <w:r>
        <w:rPr>
          <w:rFonts w:ascii="Calibri" w:hAnsi="Calibri" w:eastAsia="Calibri" w:cs="Calibri"/>
          <w:spacing w:val="19"/>
          <w:w w:val="101"/>
        </w:rPr>
        <w:t xml:space="preserve"> </w:t>
      </w:r>
      <w:r>
        <w:rPr>
          <w:spacing w:val="6"/>
        </w:rPr>
        <w:t>关机。</w:t>
      </w:r>
    </w:p>
    <w:sectPr>
      <w:footerReference w:type="default" r:id="rId22"/>
      <w:pgSz w:w="11906" w:h="16839"/>
      <w:pgMar w:top="400" w:right="1785" w:bottom="1378" w:left="1785" w:header="0" w:footer="1212"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6"/>
      <w:spacing w:line="169" w:lineRule="auto"/>
      <w:rPr>
        <w:rFonts w:ascii="Calibri" w:hAnsi="Calibri" w:eastAsia="Calibri" w:cs="Calibri"/>
        <w:sz w:val="18"/>
        <w:szCs w:val="18"/>
      </w:rPr>
    </w:pPr>
    <w:r>
      <w:rPr>
        <w:rFonts w:ascii="Calibri" w:hAnsi="Calibri" w:eastAsia="Calibri" w:cs="Calibri"/>
        <w:sz w:val="18"/>
        <w:szCs w:val="18"/>
      </w:rPr>
      <w:t>3</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0"/>
      <w:spacing w:line="168" w:lineRule="auto"/>
      <w:rPr>
        <w:rFonts w:ascii="Calibri" w:hAnsi="Calibri" w:eastAsia="Calibri" w:cs="Calibri"/>
        <w:sz w:val="18"/>
        <w:szCs w:val="18"/>
      </w:rPr>
    </w:pPr>
    <w:r>
      <w:rPr>
        <w:rFonts w:ascii="Calibri" w:hAnsi="Calibri" w:eastAsia="Calibri" w:cs="Calibri"/>
        <w:sz w:val="18"/>
        <w:szCs w:val="18"/>
      </w:rPr>
      <w:t>4</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6"/>
      <w:spacing w:line="167" w:lineRule="auto"/>
      <w:rPr>
        <w:rFonts w:ascii="Calibri" w:hAnsi="Calibri" w:eastAsia="Calibri" w:cs="Calibri"/>
        <w:sz w:val="18"/>
        <w:szCs w:val="18"/>
      </w:rPr>
    </w:pPr>
    <w:r>
      <w:rPr>
        <w:rFonts w:ascii="Calibri" w:hAnsi="Calibri" w:eastAsia="Calibri" w:cs="Calibri"/>
        <w:sz w:val="18"/>
        <w:szCs w:val="18"/>
      </w:rPr>
      <w:t>5</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4"/>
      <w:spacing w:line="169" w:lineRule="auto"/>
      <w:rPr>
        <w:rFonts w:ascii="Calibri" w:hAnsi="Calibri" w:eastAsia="Calibri" w:cs="Calibri"/>
        <w:sz w:val="18"/>
        <w:szCs w:val="18"/>
      </w:rPr>
    </w:pPr>
    <w:r>
      <w:rPr>
        <w:rFonts w:ascii="Calibri" w:hAnsi="Calibri" w:eastAsia="Calibri" w:cs="Calibri"/>
        <w:sz w:val="18"/>
        <w:szCs w:val="18"/>
      </w:rPr>
      <w:t>6</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0"/>
      <w:spacing w:line="167" w:lineRule="auto"/>
      <w:rPr>
        <w:rFonts w:ascii="Calibri" w:hAnsi="Calibri" w:eastAsia="Calibri" w:cs="Calibri"/>
        <w:sz w:val="18"/>
        <w:szCs w:val="18"/>
      </w:rPr>
    </w:pPr>
    <w:r>
      <w:rPr>
        <w:rFonts w:ascii="Calibri" w:hAnsi="Calibri" w:eastAsia="Calibri" w:cs="Calibri"/>
        <w:sz w:val="18"/>
        <w:szCs w:val="18"/>
      </w:rPr>
      <w:t>7</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81"/>
      <w:spacing w:line="169" w:lineRule="auto"/>
      <w:rPr>
        <w:rFonts w:ascii="Calibri" w:hAnsi="Calibri" w:eastAsia="Calibri" w:cs="Calibri"/>
        <w:sz w:val="18"/>
        <w:szCs w:val="18"/>
      </w:rPr>
    </w:pPr>
    <w:r>
      <w:rPr>
        <w:rFonts w:ascii="Calibri" w:hAnsi="Calibri" w:eastAsia="Calibri" w:cs="Calibri"/>
        <w:sz w:val="18"/>
        <w:szCs w:val="18"/>
      </w:rPr>
      <w:t>8</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28"/>
      <w:spacing w:line="169" w:lineRule="auto"/>
      <w:rPr>
        <w:rFonts w:ascii="Calibri" w:hAnsi="Calibri" w:eastAsia="Calibri" w:cs="Calibri"/>
        <w:sz w:val="18"/>
        <w:szCs w:val="18"/>
      </w:rPr>
    </w:pPr>
    <w:r>
      <w:rPr>
        <w:rFonts w:ascii="Calibri" w:hAnsi="Calibri" w:eastAsia="Calibri" w:cs="Calibri"/>
        <w:sz w:val="18"/>
        <w:szCs w:val="18"/>
      </w:rPr>
      <w:t>9</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5"/>
      <w:spacing w:line="169" w:lineRule="auto"/>
      <w:rPr>
        <w:rFonts w:ascii="Calibri" w:hAnsi="Calibri" w:eastAsia="Calibri" w:cs="Calibri"/>
        <w:sz w:val="18"/>
        <w:szCs w:val="18"/>
      </w:rPr>
    </w:pPr>
    <w:r>
      <w:rPr>
        <w:rFonts w:ascii="Calibri" w:hAnsi="Calibri" w:eastAsia="Calibri" w:cs="Calibri"/>
        <w:sz w:val="18"/>
        <w:szCs w:val="18"/>
        <w:spacing w:val="-8"/>
      </w:rPr>
      <w:t>10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20"/>
      <w:szCs w:val="20"/>
      <w:lang w:val="en-US" w:eastAsia="en-US" w:bidi="ar-SA"/>
    </w:rPr>
  </w:style>
  <w:style w:type="paragraph" w:styleId="TableText">
    <w:name w:val="Table Text"/>
    <w:basedOn w:val="Normal"/>
    <w:semiHidden/>
    <w:qFormat/>
    <w:pPr/>
    <w:rPr>
      <w:rFonts w:ascii="SimSun" w:hAnsi="SimSun" w:eastAsia="SimSun" w:cs="SimSun"/>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image" Target="media/image2.png"/><Relationship Id="rId3" Type="http://schemas.openxmlformats.org/officeDocument/2006/relationships/image" Target="media/image1.png"/><Relationship Id="rId25" Type="http://schemas.openxmlformats.org/officeDocument/2006/relationships/fontTable" Target="fontTable.xml"/><Relationship Id="rId24" Type="http://schemas.openxmlformats.org/officeDocument/2006/relationships/styles" Target="styles.xml"/><Relationship Id="rId23" Type="http://schemas.openxmlformats.org/officeDocument/2006/relationships/settings" Target="settings.xml"/><Relationship Id="rId22" Type="http://schemas.openxmlformats.org/officeDocument/2006/relationships/footer" Target="footer9.xml"/><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footer" Target="footer1.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footer" Target="footer8.xml"/><Relationship Id="rId16" Type="http://schemas.openxmlformats.org/officeDocument/2006/relationships/image" Target="media/image8.jpeg"/><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image" Target="media/image7.jpeg"/><Relationship Id="rId12" Type="http://schemas.openxmlformats.org/officeDocument/2006/relationships/footer" Target="footer5.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2024-12-30T16:23:51Z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2024-12-31T14:49:26</vt:filetime>
  </property>
</Properties>
</file>